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Gemeindegebietsreformgesetz Oberes Elbtal/Osterzgebirge (Sachsen) — Verwaltungseinheit Moritzburg</w:t>
      </w:r>
    </w:p>
    <w:p>
      <w:r>
        <w:rPr>
          <w:color w:val="555555"/>
          <w:sz w:val="18"/>
        </w:rPr>
        <w:t xml:space="preserve">Gemeindegebietsreformgesetz Oberes Elbtal/Osterzgebirge</w:t>
      </w:r>
    </w:p>
    <w:p>
      <w:r>
        <w:rPr>
          <w:color w:val="555555"/>
          <w:sz w:val="18"/>
        </w:rPr>
        <w:t xml:space="preserve">Landesrecht Sachsen</w:t>
      </w:r>
    </w:p>
    <w:p>
      <w:r>
        <w:rPr>
          <w:color w:val="555555"/>
          <w:sz w:val="18"/>
        </w:rPr>
        <w:t xml:space="preserve">Stand: 26.08.2026 (konsolidierte Textfassung, kein amtliches Inkrafttretensdatum)</w:t>
      </w:r>
    </w:p>
    <w:p>
      <w:r>
        <w:t xml:space="preserve">Die Gemeinden Moritzburg und Reichenberg, mit Ausnahme der Flurstücke 427, 428, 429, 430, 431, 432, 433, 485/2, 486, 1063, 1064, 1065, 1066, 1067, 1068, 1069, vom Flurstück 434/2 der Teil östlich der geraden Verlängerung der westlichen Grenzlinie des Flurstücks 408, vom Flurstück 426 der Teil nördlich der geraden Verlängerung der südlichen Grenzlinie des Flurstücks 427, vom Flurstück 408 der Teil nördlich der geraden Verlängerung der südlichen Grenzlinie des Flurstücks 427, vom Flurstück 409 der Teil nördlich der geraden Verlängerung der südlichen Grenzlinie des Flurstücks 427 sowie vom Flurstück 1049 der Teil östlich der zwischen dem südwestlichen Eckpunkt des Flurstücks 485/2 zum nordwestlichen Eckpunkt des Flurstücks 1060 verlaufenden geraden Grenzlinie der Gemarkung Boxdorf, werden zur Gemeinde Moritzburg vereinigt.</w:t>
      </w:r>
    </w:p>
    <w:p>
      <w:r>
        <w:rPr>
          <w:color w:val="555555"/>
          <w:sz w:val="17"/>
        </w:rPr>
        <w:t xml:space="preserve">Zitiervorschlag: § 13 Gemeindegebietsreformgesetz Oberes Elbtal/Osterzgebirge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https://recht.nulegal.eu/gesetze/sn-2423/13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