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Gemeindegebietsreformgesetz Oberes Elbtal/Osterzgebirge (Sachsen) — Verwaltungseinheit Schönfeld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Verwaltungsverband Schönfeld wird aufgelöst.</w:t>
      </w:r>
    </w:p>
    <w:p>
      <w:r>
        <w:t xml:space="preserve">(2) Die Gemeinde Schönborn wird in die Gemeinde Lampertswalde eingegliedert.</w:t>
      </w:r>
    </w:p>
    <w:p>
      <w:r>
        <w:t xml:space="preserve">(3) Zwischen der Gemeinde Schönfeld als erfüllender Gemeinde und den Gemeinden Lampertswalde und Weißig a. Raschütz ist eine Verwaltungsgemeinschaft zu vereinbaren.</w:t>
      </w:r>
    </w:p>
    <w:p>
      <w:r>
        <w:rPr>
          <w:color w:val="555555"/>
          <w:sz w:val="17"/>
        </w:rPr>
        <w:t xml:space="preserve">Zitiervorschlag: § 10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