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JMStV (Sachsen) — Unzulässige Angebote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Unbeschadet strafrechtlicher Verantwortlichkeit sind Angebote unzulässig, wenn sie</w:t>
      </w:r>
    </w:p>
    <w:p>
      <w:r>
        <w:t xml:space="preserve">1. Propagandamittel im Sinne des § 86 des Strafgesetzbuches darstellen, deren Inhalt gegen die freiheitliche demokratische Grundordnung oder den Gedanken der Völkerverständigung gerichtet ist,</w:t>
      </w:r>
    </w:p>
    <w:p>
      <w:r>
        <w:t xml:space="preserve">2. Kennzeichen verfassungswidriger Organisationen im Sinne des § 86a des Strafgesetzbuches verwenden,</w:t>
      </w:r>
    </w:p>
    <w:p>
      <w:r>
        <w:t xml:space="preserve">3. zum Hass gegen Teile der Bevölkerung oder gegen eine nationale, rassische, religiöse oder durch ihr Volkstum bestimmte Gruppe aufstacheln, zu Gewalt- oder Willkürmaßnahmen gegen sie auffordern oder die Menschenwürde anderer dadurch angreifen, dass Teile der Bevölkerung oder eine vorbezeichnete Gruppe beschimpft, böswillig verächtlich gemacht oder verleumdet werden,</w:t>
      </w:r>
    </w:p>
    <w:p>
      <w:r>
        <w:t xml:space="preserve">4. eine unter der Herrschaft des Nationalsozialismus begangene Handlung der in § 6 Abs. 1 des Völkerstrafgesetzbuches bezeichneten Art in einer Weise, die geeignet ist, den öffentlichen Frieden zu stören, leugnen oder verharmlosen, oder den öffentlichen Frieden in einer die Würde der Opfer verletzenden Weise dadurch stören, dass die nationalsozialistische Gewalt- und Willkürherrschaft gebilligt, verherrlicht oder gerechtfertigt wird,</w:t>
      </w:r>
    </w:p>
    <w:p>
      <w:r>
        <w:t xml:space="preserve">5. grausame oder sonst unmenschliche Gewalttätigkeiten gegen Menschen in einer Art schildern, die eine Verherrlichung oder Verharmlosung solcher Gewalttätigkeiten ausdrückt oder die das Grausame oder Unmenschliche des Vorgangs in einer die Menschenwürde verletzenden Weise darstellt; dies gilt auch bei virtuellen Darstellungen,</w:t>
      </w:r>
    </w:p>
    <w:p>
      <w:r>
        <w:t xml:space="preserve">6. als Anleitung zu einer in § 126 Abs. 1 des Strafgesetzbuches genannten rechtswidrigen Tat dienen,</w:t>
      </w:r>
    </w:p>
    <w:p>
      <w:r>
        <w:t xml:space="preserve">7. den Krieg verherrlichen,</w:t>
      </w:r>
    </w:p>
    <w:p>
      <w:r>
        <w:t xml:space="preserve">8. gegen die Menschenwürde verstoßen, insbesondere durch die Darstellung von Menschen, die sterben oder schweren körperlichen oder seelischen Leiden ausgesetzt sind oder waren, wobei ein tatsächliches Geschehen wiedergegeben wird, ohne dass ein berechtigtes Interesse gerade für diese Form der Darstellung oder Berichterstattung vorliegt; eine Einwilligung ist unbeachtlich,</w:t>
      </w:r>
    </w:p>
    <w:p>
      <w:r>
        <w:t xml:space="preserve">9. Kinder oder Jugendliche in unnatürlich geschlechtsbetonter Körperhaltung darstellen; dies gilt auch bei virtuellen Darstellungen,</w:t>
      </w:r>
    </w:p>
    <w:p>
      <w:r>
        <w:t xml:space="preserve">10. kinderpornografisch im Sinne des § 184b Abs. 1 des Strafgesetzbuches oder jugendpornografisch im Sinne des § 184c Abs. 1 des Strafgesetzbuches sind oder pornografisch sind und Gewalttätigkeiten oder sexuelle Handlungen von Menschen mit Tieren zum Gegenstand haben; dies gilt auch bei virtuellen Darstellungen, oder</w:t>
      </w:r>
    </w:p>
    <w:p>
      <w:r>
        <w:t xml:space="preserve">11. in die Liste jugendgefährdender Medien nach § 18 Abs. 1 des Jugendschutzgesetzes aufgenommen sind und eine Feststellung nach § 18 Abs. 5 des Jugendschutzgesetzes oder eine bejahende Einschätzung nach § 18 Abs. 6 des Jugendschutzgesetzes erfolgt ist oder sie mit einem in diese Liste aufgenommenen Werk, für das eine Feststellung nach § 18 Abs. 5 des Jugendschutzgesetzes oder eine bejahende Einschätzung nach § 18 Abs. 6 des Jugendschutzgesetzes erfolgt ist, ganz oder im Wesentlichen inhaltsgleich sind.</w:t>
      </w:r>
    </w:p>
    <w:p>
      <w:r>
        <w:t xml:space="preserve">In den Fällen der Nummern 1 bis 4 und 6 gilt § 86 Abs. 3 des Strafgesetzbuches, im Falle der Nummer 5 § 131 Abs. 2 des Strafgesetzbuches entsprechend.</w:t>
      </w:r>
    </w:p>
    <w:p>
      <w:r>
        <w:t xml:space="preserve">(2) Unbeschadet strafrechtlicher Verantwortlichkeit sind Angebote ferner unzulässig, wenn sie</w:t>
      </w:r>
    </w:p>
    <w:p>
      <w:r>
        <w:t xml:space="preserve">1. in sonstiger Weise pornografisch sind,</w:t>
      </w:r>
    </w:p>
    <w:p>
      <w:r>
        <w:t xml:space="preserve">2. in die Liste jugendgefährdender Medien nach § 18 Abs. 1 des Jugendschutzgesetzes aufgenommen sind, ohne dass eine Feststellung nach § 18 Abs. 5 des Jugendschutzgesetzes oder eine bejahende Einschätzung nach § 18 Abs. 6 des Jugendschutzgesetzes erfolgt ist oder sie mit einem in diese Liste aufgenommenen Werk, für das keine Feststellung nach § 18 Abs. 5 des Jugendschutzgesetzes oder bejahende Einschätzung nach § 18 Abs. 6 des Jugendschutzgesetzes erfolgt ist, ganz oder im Wesentlichen inhaltsgleich sind, oder</w:t>
      </w:r>
    </w:p>
    <w:p>
      <w:r>
        <w:t xml:space="preserve">3. offensichtlich geeignet sind, die Entwicklung von Kindern und Jugendlichen oder ihre Erziehung zu einer eigenverantwortlichen und gemeinschaftsfähigen Persönlichkeit unter Berücksichtigung der besonderen Wirkungsform des Verbreitungsmediums schwer zu gefährden.</w:t>
      </w:r>
    </w:p>
    <w:p>
      <w:r>
        <w:t xml:space="preserve">In Telemedien sind Angebote abweichend von Satz 1 zulässig, wenn von Seiten des Anbieters sichergestellt ist, dass sie nur Erwachsenen zugänglich gemacht werden (geschlossene Benutzergruppe).</w:t>
      </w:r>
    </w:p>
    <w:p>
      <w:r>
        <w:t xml:space="preserve">(3) Nach Aufnahme eines Angebotes in die Liste nach § 18 des Jugendschutzgesetzes wirken die Verbote nach Absatz 1 und 2 auch nach wesentlichen inhaltlichen Veränderungen bis zu einer Entscheidung durch die Prüfstelle für jugendgefährdende Medien.</w:t>
      </w:r>
    </w:p>
    <w:p>
      <w:r>
        <w:t xml:space="preserve">(4) Die Kommission für Jugendmedienschutz (KJM) legt im Einvernehmen mit den anerkannten Einrichtungen der Freiwilligen Selbstkontrolle Anforderungen an Systeme zur Sicherstellung geschlossener Benutzergruppen nach § 4 Abs. 2 Satz 2 zur Gewährleistung eines effektiven Jugendschutzes fest. Zur Anerkennung ihrer Eignung zur Gewährleistung eines effektiven Jugendschutzes können Systeme zur Sicherstellung geschlossener Benutzergruppen nach § 4 Abs. 2 Satz 2 einer anerkannten Einrichtung der Freiwilligen Selbstkontrolle vorgelegt werden.</w:t>
      </w:r>
    </w:p>
    <w:p>
      <w:r>
        <w:rPr>
          <w:color w:val="555555"/>
          <w:sz w:val="17"/>
        </w:rPr>
        <w:t xml:space="preserve">Zitiervorschlag: § 4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