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JMStV (Sachsen) — Revision zum Bundesverwaltungsgericht</w:t>
      </w:r>
    </w:p>
    <w:p>
      <w:r>
        <w:rPr>
          <w:color w:val="555555"/>
          <w:sz w:val="18"/>
        </w:rPr>
        <w:t xml:space="preserve">Jugendmedienschutz-Staatsvertrag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In einem gerichtlichen Verfahren kann die Revision zum Bundesverwaltungsgericht auch darauf gestützt werden, dass das angefochtene Urteil auf der Verletzung der Bestimmungen dieses Staatsvertrages beruhe.</w:t>
      </w:r>
    </w:p>
    <w:p>
      <w:r>
        <w:rPr>
          <w:color w:val="555555"/>
          <w:sz w:val="17"/>
        </w:rPr>
        <w:t xml:space="preserve">Zitiervorschlag: § 22 JMStV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https://recht.nulegal.eu/gesetze/sn-2410--2002/22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