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JMStV (Sachsen) — Auskunftsansprüche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Anbieter nach § 3 Nr. 2 oder Nr. 7 sind verpflichtet, der zuständigen Landesmedienanstalt Auskunft über die Angebote und über die zur Wahrung des Jugendschutzes getroffenen Maßnahmen zu geben und ihr auf Anforderung den unentgeltlichen Zugang zu den Angeboten zu Kontrollzwecken zu ermöglichen.</w:t>
      </w:r>
    </w:p>
    <w:p>
      <w:r>
        <w:t xml:space="preserve">(2) Anbieter, die ihren Sitz nach den Vorschriften des Digitale-Dienste-Gesetzes sowie des Medienstaatsvertrages nicht in Deutschland haben, haben im Inland einen Zustellungsbevollmächtigten zu benennen und in ihrem Angebot in leicht erkennbarer und unmittelbar erreichbarer Weise auf ihn aufmerksam zu machen. An diese Person können Zustellungen in Verfahren nach § 24 oder in Gerichtsverfahren vor deutschen Gerichten wegen der Verbreitung rechtswidriger Inhalte bewirkt werden. Das gilt auch für die Zustellung von Schriftstücken, die solche Verfahren einleiten oder vorbereiten.</w:t>
      </w:r>
    </w:p>
    <w:p>
      <w:r>
        <w:t xml:space="preserve">(3) Der Abruf oder die Nutzung von Angeboten im Rahmen der Aufsicht, der Ahndung von Verstößen oder der Kontrolle ist unentgeltlich. Anbieter haben dies sicherzustellen. Der Anbieter darf seine Angebote nicht gegen den Abruf oder die Kenntnisnahme durch die zuständige Stelle sperren oder den Abruf oder die Kenntnisnahme erschweren.</w:t>
      </w:r>
    </w:p>
    <w:p>
      <w:r>
        <w:rPr>
          <w:color w:val="555555"/>
          <w:sz w:val="17"/>
        </w:rPr>
        <w:t xml:space="preserve">Zitiervorschlag: § 21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