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JMStV (Sachsen) — Aufsicht</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Stellt die zuständige Landesmedienanstalt fest, dass ein Anbieter nach § 3 Nr. 2 oder Nr. 7 gegen die Bestimmungen dieses Staatsvertrages verstoßen hat, trifft sie die erforderlichen Maßnahmen gegenüber dem Anbieter nach § 3 Nr. 2 oder Nr. 7.</w:t>
      </w:r>
    </w:p>
    <w:p>
      <w:r>
        <w:t xml:space="preserve">(2) Für Veranstalter von Rundfunk trifft die zuständige Landesmedienanstalt durch die KJM entsprechend den landesrechtlichen Regelungen die jeweilige Entscheidung.</w:t>
      </w:r>
    </w:p>
    <w:p>
      <w:r>
        <w:t xml:space="preserve">(3) Tritt die KJM an einen Rundfunkveranstalter mit dem Vorwurf heran, er habe gegen Bestimmungen dieses Staatsvertrages verstoßen, und weist der Veranstalter nach, dass die Sendung vor ihrer Ausstrahlung einer anerkannten Einrichtung der Freiwilligen Selbstkontrolle im Sinne dieses Staatsvertrages vorgelegen hat und deren Vorgaben beachtet wurden, so sind Maßnahmen durch die KJM nur dann zulässig, wenn die Entscheidung oder die Unterlassung einer Entscheidung der anerkannten Einrichtung der Freiwilligen Selbstkontrolle die rechtlichen Grenzen des Beurteilungsspielraums überschritten hat. Die KJM teilt der anerkannten Einrichtung der Freiwilligen Selbstkontrolle ihre Entscheidung nebst Begründung mit. Wird einem Anbieter einer nichtvorlagefähigen Sendung ein Verstoß gegen den Jugendschutz vorgeworfen, ist vor Maßnahmen durch die KJM die anerkannte Einrichtung der Freiwilligen Selbstkontrolle, der der Rundfunkveranstalter angeschlossen ist, zu befassen; Satz 1 gilt entsprechend. Für Entscheidungen nach den §§ 8 und 9 gilt Satz 1 entsprechend. Dieser Absatz gilt nicht bei Verstößen gegen § 4 Abs. 1.</w:t>
      </w:r>
    </w:p>
    <w:p>
      <w:r>
        <w:t xml:space="preserve">(4) Für Anbieter nach § 3 Nr. 2 oder Nr. 7 trifft die zuständige Landesmedienanstalt durch die KJM entsprechend § 109 des Medienstaatsvertrages die jeweilige Entscheidung. Darüber hinaus kann die zuständige Landesmedienanstalt den am Zahlungsverkehr Beteiligten, insbesondere den Kredit- und Finanzdienstleistungsunternehmen, nach vorheriger Nennung unzulässiger Angebote im Sinne des § 4 Abs. 1 und 2 die Mitwirkung an Zahlungen für diese Angebote untersagen, ohne dass es einer vorherigen Inanspruchnahme des Anbieters durch die Aufsicht bedarf.</w:t>
      </w:r>
    </w:p>
    <w:p>
      <w:r>
        <w:t xml:space="preserve">(5) Gehört ein Anbieter von Telemedien einer anerkannten Einrichtung der Freiwilligen Selbstkontrolle im Sinne dieses Staatsvertrages an oder unterwirft er sich ihren Statuten, so ist bei behaupteten Verstößen gegen den Jugendschutz, mit Ausnahme von Verstößen gegen § 4 Abs. 1, durch die KJM zunächst diese Einrichtung mit den behaupteten Verstößen zu befassen. Maßnahmen nach Absatz 1 gegen den Anbieter durch die KJM sind nur dann zulässig, wenn die Entscheidung oder die Unterlassung einer Entscheidung der anerkannten Einrichtung der Freiwilligen Selbstkontrolle die rechtlichen Grenzen des Beurteilungsspielraums überschreitet. Bei Verstößen gegen § 4 haben Widerspruch und Anfechtungsklage des Anbieters von Telemedien keine aufschiebende Wirkung.</w:t>
      </w:r>
    </w:p>
    <w:p>
      <w:r>
        <w:t xml:space="preserve">(6) Zuständig ist die Landesmedienanstalt des Landes, in dem der betroffene Anbieter seinen Sitz, Wohnsitz oder in Ermangelung dessen seinen ständigen Aufenthalt hat; § 119 des Medienstaatsvertrages gilt entsprechend. Sind nach Satz 1 mehrere Landesmedienanstalten zuständig oder hat der Anbieter seinen Sitz im Ausland, entscheidet die Landesmedienanstalt, die zuerst mit der Sache befasst worden ist.</w:t>
      </w:r>
    </w:p>
    <w:p>
      <w:r>
        <w:t xml:space="preserve">(7) Treten die KJM, eine Landesmedienanstalt oder ,jugendschutz.net’ an einen Anbieter mit dem Vorwurf heran, er habe gegen Bestimmungen dieses Staatsvertrages verstoßen, so weisen sie ihn auf die Möglichkeit einer Mitgliedschaft in einer anerkannten Einrichtung der Freiwilligen Selbstkontrolle und die damit verbundenen Rechtsfolgen hin.</w:t>
      </w:r>
    </w:p>
    <w:p>
      <w:r>
        <w:rPr>
          <w:color w:val="555555"/>
          <w:sz w:val="17"/>
        </w:rPr>
        <w:t xml:space="preserve">Zitiervorschlag: § 20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