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JMStV (Sachsen) — „jugendschutz.net“</w:t>
      </w:r>
    </w:p>
    <w:p>
      <w:r>
        <w:rPr>
          <w:color w:val="555555"/>
          <w:sz w:val="18"/>
        </w:rPr>
        <w:t xml:space="preserve">Jugendmedienschutz-Staatsvertrag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Die durch die obersten Landesjugendbehörden eingerichtete gemeinsame Stelle Jugendschutz aller Länder („jugendschutz.net“) ist organisatorisch an die KJM angebunden. Die Stelle „jugendschutz.net“ wird von den Landesmedienanstalten und den Ländern gemeinsam finanziert. Die näheren Einzelheiten der Finanzierung dieser Stelle durch die Länder legen die für den Jugendschutz zuständigen Minister der Länder in einem Statut durch Beschluss fest. Das Statut regelt auch die fachliche und haushaltsmäßige Unabhängigkeit der Stelle.</w:t>
      </w:r>
    </w:p>
    <w:p>
      <w:r>
        <w:t xml:space="preserve">(2) „jugendschutz.net“ unterstützt die KJM und die obersten Landesjugendbehörden bei deren Aufgaben.</w:t>
      </w:r>
    </w:p>
    <w:p>
      <w:r>
        <w:t xml:space="preserve">(3) „jugendschutz.net“ überprüft die Angebote der Telemedien. Daneben nimmt „jugendschutz.net“ auch Aufgaben der Beratung und Schulung bei Telemedien wahr.</w:t>
      </w:r>
    </w:p>
    <w:p>
      <w:r>
        <w:t xml:space="preserve">(4) Bei möglichen Verstößen gegen Bestimmungen dieses Staatsvertrages weist „jugendschutz.net“ den Anbieter hierauf hin und informiert die KJM. Bei möglichen Verstößen von Mitgliedern einer anerkannten Einrichtung der Freiwilligen Selbstkontrolle ergeht der Hinweis zunächst an diese Einrichtung. Die anerkannten Einrichtungen der Freiwilligen Selbstkontrolle haben innerhalb einer Woche ein Verfahren einzuleiten und dies „jugendschutz.net“ mitzuteilen. Bei Untätigkeit der anerkannten Einrichtungen der Freiwilligen Selbstkontrolle informiert „jugendschutz.net“ die KJM.</w:t>
      </w:r>
    </w:p>
    <w:p>
      <w:r>
        <w:rPr>
          <w:color w:val="555555"/>
          <w:sz w:val="17"/>
        </w:rPr>
        <w:t xml:space="preserve">Zitiervorschlag: § 18 JMStV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https://recht.nulegal.eu/gesetze/sn-2410--2002/18</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