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FAMG 2025/2026 (Sachsen) — Außerkrafttreten</w:t>
      </w:r>
    </w:p>
    <w:p>
      <w:r>
        <w:rPr>
          <w:color w:val="555555"/>
          <w:sz w:val="18"/>
        </w:rPr>
        <w:t xml:space="preserve">Finanzausgleichsmassengesetz 2025/2026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des Inkrafttretens des Finanzausgleichsmassengesetzes 2027/2028, jedoch nicht vor dem 31. Dezember 2026 außer Kraft.</w:t>
      </w:r>
    </w:p>
    <w:p>
      <w:r>
        <w:rPr>
          <w:color w:val="555555"/>
          <w:sz w:val="17"/>
        </w:rPr>
        <w:t xml:space="preserve">Zitiervorschlag: § 4 FAMG 2025/2026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https://recht.nulegal.eu/gesetze/sn-21269/4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