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LWO (Sachsen)</w:t>
      </w:r>
    </w:p>
    <w:p>
      <w:r>
        <w:rPr>
          <w:color w:val="555555"/>
          <w:sz w:val="18"/>
        </w:rPr>
        <w:t xml:space="preserve">Landeswahlordnung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Auf Grund des § 52 des Sächsischen Wahlgesetzes in der Fassung der Bekanntmachung vom 15. September 2003 (SächsGVBl. S. 525), das zuletzt durch Artikel 4 des Gesetzes vom 2. Juli 2019 (SächsGVBl. S. 542) geändert worden ist, verordnet das Staatsministerium des Innern:</w:t>
      </w:r>
    </w:p>
    <w:p>
      <w:r>
        <w:rPr>
          <w:color w:val="555555"/>
          <w:sz w:val="17"/>
        </w:rPr>
        <w:t xml:space="preserve">Zitiervorschlag: Eingangsformel LWO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https://recht.nulegal.eu/gesetze/sn-19947--2023/eingangsformel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