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LWO (Sachsen) — Abschluss des Wählerverzeichnisses</w:t>
      </w:r>
    </w:p>
    <w:p>
      <w:r>
        <w:rPr>
          <w:color w:val="555555"/>
          <w:sz w:val="18"/>
        </w:rPr>
        <w:t xml:space="preserve">Landeswahlordnung</w:t>
      </w:r>
    </w:p>
    <w:p>
      <w:r>
        <w:rPr>
          <w:color w:val="555555"/>
          <w:sz w:val="18"/>
        </w:rPr>
        <w:t xml:space="preserve">Landesrecht Sachsen</w:t>
      </w:r>
    </w:p>
    <w:p>
      <w:r>
        <w:rPr>
          <w:color w:val="555555"/>
          <w:sz w:val="18"/>
        </w:rPr>
        <w:t xml:space="preserve">Stand: 27.08.2026 (konsolidierte Textfassung, kein amtliches Inkrafttretensdatum)</w:t>
      </w:r>
    </w:p>
    <w:p>
      <w:r>
        <w:t xml:space="preserve">(1) Das Wählerverzeichnis ist spätestens am Tag vor der Wahl, jedoch nicht früher als am dritten Tag vor der Wahl, durch die Gemeinde abzuschließen. Sie stellt dabei die Zahl der Wahlberechtigten des Wahlbezirkes fest. Der Abschluss wird nach dem Muster der Anlage 3 beurkundet. Bei automatisierter Führung des Wählerverzeichnisses ist vor der Beurkundung ein Ausdruck herzustellen.</w:t>
      </w:r>
    </w:p>
    <w:p>
      <w:r>
        <w:t xml:space="preserve">(2) Wählerverzeichnisse mehrerer Gemeinden oder Gemeindeteile, die zu einem Wahlbezirk vereinigt sind, werden von der Gemeinde, die die Wahl im Wahlbezirk durchführt, zum Wählerverzeichnis des Wahlbezirks verbunden und abgeschlossen.</w:t>
      </w:r>
    </w:p>
    <w:p>
      <w:r>
        <w:rPr>
          <w:color w:val="555555"/>
          <w:sz w:val="17"/>
        </w:rPr>
        <w:t xml:space="preserve">Zitiervorschlag: § 21 LWO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https://recht.nulegal.eu/gesetze/sn-19947--2023/21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