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BFSO (Sachsen) — Stundentafeln, Lehrpläne und Klassenbücher</w:t>
      </w:r>
    </w:p>
    <w:p>
      <w:r>
        <w:rPr>
          <w:color w:val="555555"/>
          <w:sz w:val="18"/>
        </w:rPr>
        <w:t xml:space="preserve">Schulordnung Berufsfachschule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Für den Unterricht gelten die von der obersten Schulaufsichtsbehörde erlassenen Stundentafeln und Lehrpläne.</w:t>
      </w:r>
    </w:p>
    <w:p>
      <w:r>
        <w:t xml:space="preserve">(2) Kann aus zwingenden Gründen Unterricht in einzelnen Fächern des berufsübergreifenden Bereichs nicht oder nur teilweise erteilt werden, wird Unterricht in Lernfeldern des berufsbezogenen Bereichs erteilt.</w:t>
      </w:r>
    </w:p>
    <w:p>
      <w:r>
        <w:t xml:space="preserve">(3) Zum Nachweis der Unterrichtsinhalte und des ordnungsgemäßen Unterrichtsablaufs wird ein Klassenbuch geführt.</w:t>
      </w:r>
    </w:p>
    <w:p>
      <w:r>
        <w:rPr>
          <w:color w:val="555555"/>
          <w:sz w:val="17"/>
        </w:rPr>
        <w:t xml:space="preserve">Zitiervorschlag: § 9 BFSO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https://recht.nulegal.eu/gesetze/sn-19746--2022/9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BFSO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