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8 eGBRStVtr (Sachsen) — Beschlussfassung des Länderbeirats</w:t>
      </w:r>
    </w:p>
    <w:p>
      <w:r>
        <w:rPr>
          <w:color w:val="555555"/>
          <w:sz w:val="18"/>
        </w:rPr>
        <w:t xml:space="preserve">eGBR-Staatsvertrag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¹Jedes Mitglied des Länderbeirats hat eine Stimme. ²Der Länderbeirat ist beschlussfähig, wenn mindestens die Hälfte seiner Mitglieder anwesend ist. ³Er fasst seine Beschlüsse mit einer Mehrheit von zwei Dritteln der Stimmen der anwesenden Mitglieder.</w:t>
      </w:r>
    </w:p>
    <w:p>
      <w:r>
        <w:t xml:space="preserve">(2) Eine schriftliche Beschlussfassung ist möglich, wenn nicht mehr als drei Mitglieder widersprechen, Absatz 1 gilt entsprechend.</w:t>
      </w:r>
    </w:p>
    <w:p>
      <w:r>
        <w:rPr>
          <w:color w:val="555555"/>
          <w:sz w:val="17"/>
        </w:rPr>
        <w:t xml:space="preserve">Zitiervorschlag: Artikel 8 eGBRStVtr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https://recht.nulegal.eu/gesetze/sn-19609--2021/8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