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PVFVO (Sachsen) — Inkrafttreten</w:t>
      </w:r>
    </w:p>
    <w:p>
      <w:r>
        <w:rPr>
          <w:color w:val="555555"/>
          <w:sz w:val="18"/>
        </w:rPr>
        <w:t xml:space="preserve">Photovoltaik-Freiflächenverordnung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2. September 2021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für Energie, Klimaschutz, Umwelt und Landwirtschaft</w:t>
      </w:r>
    </w:p>
    <w:p>
      <w:r>
        <w:t xml:space="preserve">Wolfram Günther</w:t>
      </w:r>
    </w:p>
    <w:p>
      <w:r>
        <w:rPr>
          <w:color w:val="555555"/>
          <w:sz w:val="17"/>
        </w:rPr>
        <w:t xml:space="preserve">Zitiervorschlag: § 2 PVFVO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https://recht.nulegal.eu/gesetze/sn-19326--2021/2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