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PVFVO (Sachsen) — Öffnung der Flächenkulisse</w:t>
      </w:r>
    </w:p>
    <w:p>
      <w:r>
        <w:rPr>
          <w:color w:val="555555"/>
          <w:sz w:val="18"/>
        </w:rPr>
        <w:t xml:space="preserve">Photovoltaik-Freiflächenverordnung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In Sachsen dürfen nach Maßgabe von Absatz 2 auch Gebote für Freiflächenanlagen auf Flächen nach § 37 Absatz 1 Nummer 2 Buchstabe h und i des Erneuerbare-Energien-Gesetzes vom 21. Juli 2014 (BGBl. I S. 1066), das zuletzt durch Artikel 11 des Gesetzes vom 16. Juli 2021 (BGBl. I S. 3026) geändert worden ist, in der jeweils geltenden Fassung, bezuschlagt werden. Ausgenommen sind Gebote für Anlagen auf Flächen, die als Natura-2000-Gebiet nach § 7 Absatz 1 Nummer 8 des Bundesnaturschutzgesetzes oder Nationales Naturmonument nach § 24 Absatz 4 des Bundesnaturschutzgesetzes geschützt sind.</w:t>
      </w:r>
    </w:p>
    <w:p>
      <w:r>
        <w:t xml:space="preserve">(2) Wird erstmals durch einen Zuschlag zu einem Gebot nach Absatz 1 die Grenze von 180 Megawatt pro Kalenderjahr zu installierender Leistung erreicht oder überschritten, dürfen in diesem Kalenderjahr keine weiteren Gebote bezuschlagt werden (landesspezifische Zuschlagsgrenze).</w:t>
      </w:r>
    </w:p>
    <w:p>
      <w:r>
        <w:t xml:space="preserve">(3) § 38a Absatz 1 Nummer 5 des Erneuerbare-Energien-Gesetzes bleibt unberührt.</w:t>
      </w:r>
    </w:p>
    <w:p>
      <w:r>
        <w:rPr>
          <w:color w:val="555555"/>
          <w:sz w:val="17"/>
        </w:rPr>
        <w:t xml:space="preserve">Zitiervorschlag: § 1 PVFVO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https://recht.nulegal.eu/gesetze/sn-19326--2021/1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