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8 Studienakkreditierungsstaatsvertrag (Sachsen) — Organe der Stiftung</w:t>
      </w:r>
    </w:p>
    <w:p>
      <w:r>
        <w:rPr>
          <w:color w:val="555555"/>
          <w:sz w:val="18"/>
        </w:rPr>
        <w:t xml:space="preserve">Studienakkreditierungsstaatsvertrag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Organe der Stiftung sind</w:t>
      </w:r>
    </w:p>
    <w:p>
      <w:r>
        <w:t xml:space="preserve">1. der Akkreditierungsrat,</w:t>
      </w:r>
    </w:p>
    <w:p>
      <w:r>
        <w:t xml:space="preserve">2. der Vorstand,</w:t>
      </w:r>
    </w:p>
    <w:p>
      <w:r>
        <w:t xml:space="preserve">3. der Stiftungsrat.</w:t>
      </w:r>
    </w:p>
    <w:p>
      <w:r>
        <w:t xml:space="preserve">(2) Die Organe müssen bei allen Vorschlägen und Entscheidungen die geschlechtsspezifischen Auswirkungen beachten (Gender Mainstreaming).</w:t>
      </w:r>
    </w:p>
    <w:p>
      <w:r>
        <w:rPr>
          <w:color w:val="555555"/>
          <w:sz w:val="17"/>
        </w:rPr>
        <w:t xml:space="preserve">Zitiervorschlag: Artikel 8 Studienakkreditierungsstaatsvertrag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https://recht.nulegal.eu/gesetze/sn-17508--2017/8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