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6 Studienakkreditierungsstaatsvertrag (Sachsen) — Stiftungsvermögen, Gebühren</w:t>
      </w:r>
    </w:p>
    <w:p>
      <w:r>
        <w:rPr>
          <w:color w:val="555555"/>
          <w:sz w:val="18"/>
        </w:rPr>
        <w:t xml:space="preserve">Studienakkreditierungsstaatsvertrag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¹Zur Erfüllung des Stiftungszwecks (Artikel 5) erhält die Stiftung einen jährlichen Zuschuss der Länder. ²Der Betrag wird von den Ländern nach dem Königsteiner Schlüssel in der jeweils geltenden Fassung aufgebracht. ³Der Zuschuss wird nur gewährt, soweit der Verwaltungsaufwand der Stiftung nicht durch Gebühren nach Absatz 4 gedeckt wird. ⁴Die Anteilsbeträge der Länder werden im Laufe eines jeden Haushaltsjahres in zwei Teilbeträgen zum 1. Januar und zum 1. Juli nach den Ansätzen des Wirtschaftsplans fällig.</w:t>
      </w:r>
    </w:p>
    <w:p>
      <w:r>
        <w:t xml:space="preserve">(2) Die Stiftung ist berechtigt, Zuwendungen von dritter Seite anzunehmen.</w:t>
      </w:r>
    </w:p>
    <w:p>
      <w:r>
        <w:t xml:space="preserve">(3) Erträgnisse des Stiftungsvermögens und sonstige Einnahmen dürfen nur im Sinne des Stiftungszwecks verwendet werden.</w:t>
      </w:r>
    </w:p>
    <w:p>
      <w:r>
        <w:t xml:space="preserve">(4) ¹Die Stiftung kann zur Deckung ihres Verwaltungsaufwandes nach näherer Bestimmung der Gebührenordnung Gebühren für die Durchführung der Verfahren nach Artikel 3 Absatz 1 und nach Artikel 5 Absatz 3 Nummer 5 erheben. ²Die Gebührenordnung muss zumindest den die Gebühr begründenden Tatbestand, den Gebührensatz sowie den Zeitpunkt ihrer Fälligkeit angeben. ³Die §§ 3 bis 5, 9 bis 22 des Gebührengesetzes für das Land Nordrhein-Westfalen gelten entsprechend, soweit in der Gebührenordnung nichts anderes bestimmt ist. ⁴Die Gebührenordnung wird vom Stiftungsrat unter Beteiligung der Ständigen Konferenz der Kultusminister der Länder in der Bundesrepublik Deutschland beschlossen.</w:t>
      </w:r>
    </w:p>
    <w:p>
      <w:r>
        <w:rPr>
          <w:color w:val="555555"/>
          <w:sz w:val="17"/>
        </w:rPr>
        <w:t xml:space="preserve">Zitiervorschlag: Artikel 6 Studienakkreditierungsstaatsvertrag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https://recht.nulegal.eu/gesetze/sn-17508--2017/6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