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4 Studienakkreditierungsstaatsvertrag (Sachsen) — Verordnung zur Regelung des Näheren der Studienakkreditierung (Studienakkreditierungsverordnung)</w:t>
      </w:r>
    </w:p>
    <w:p>
      <w:r>
        <w:rPr>
          <w:color w:val="555555"/>
          <w:sz w:val="18"/>
        </w:rPr>
        <w:t xml:space="preserve">Studienakkreditierungsstaatsvertrag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Zur Sicherung und Entwicklung der Qualität in Studium und Lehre bestimmen die Länder durch Rechtsverordnungen das Nähere zu den formalen Kriterien nach Artikel 2 Absatz 2, zu den fachlich-inhaltlichen Kriterien nach Artikel 2 Absatz 3 sowie zum Verfahren nach Artikel 3.</w:t>
      </w:r>
    </w:p>
    <w:p>
      <w:r>
        <w:t xml:space="preserve">(2) ¹Für einzelne Studienbereiche können die Länder zur Sicherung und Entwicklung der studienbereichsadäquaten Qualität in Studium und Lehre durch Rechtsverordnungen regeln, dass für diese Studienbereiche die Kriterien nach Artikel 2 Absatz 2 nach Maßgabe besonderer Regelungen gelten. ²Studienbereiche im Sinne des Satzes 1 sind zum Beispiel künstlerische Studiengänge an Kunst- und Musikhochschulen sowie Studiengänge, mit denen die Voraussetzungen für ein Lehramt vermittelt werden.</w:t>
      </w:r>
    </w:p>
    <w:p>
      <w:r>
        <w:t xml:space="preserve">(3) ¹Die Länder bestimmen durch Rechtsverordnungen das Nähere zu den Verfahren gemäß Artikel 3 Absatz 1 Nummern 1 und 2, insbesondere</w:t>
      </w:r>
    </w:p>
    <w:p>
      <w:r>
        <w:t xml:space="preserve">1. das Nähere zur Verfahrenseinleitung, insbesondere hinsichtlich der Beauftragung der Agentur durch die Hochschule,</w:t>
      </w:r>
    </w:p>
    <w:p>
      <w:r>
        <w:t xml:space="preserve">2. die Vorgabe eines einheitlichen Rasters und einheitlicher Standards für</w:t>
      </w:r>
    </w:p>
    <w:p>
      <w:r>
        <w:t xml:space="preserve">a)</w:t>
      </w:r>
    </w:p>
    <w:p>
      <w:r>
        <w:t xml:space="preserve">die Gutachten nach Artikel 3 Absatz 2 Satz 1 Nummer 4 sowie</w:t>
      </w:r>
    </w:p>
    <w:p>
      <w:r>
        <w:t xml:space="preserve">b)</w:t>
      </w:r>
    </w:p>
    <w:p>
      <w:r>
        <w:t xml:space="preserve">den Prüfbericht über die Einhaltung der formalen Kriterien,</w:t>
      </w:r>
    </w:p>
    <w:p>
      <w:r>
        <w:t xml:space="preserve">3. die Zusammensetzung des für die Begutachtung und Erstellung des Gutachtens nach Artikel 3 Absatz 2 Satz 1 Nummer 4 zuständigen Gremiums,</w:t>
      </w:r>
    </w:p>
    <w:p>
      <w:r>
        <w:t xml:space="preserve">4. die fachlichen Anforderungen an die Gutachterinnen und Gutachter,</w:t>
      </w:r>
    </w:p>
    <w:p>
      <w:r>
        <w:t xml:space="preserve">5. den Zeitraum der Geltung der Akkreditierungsentscheidungen (Rakkreditierungsfristen),</w:t>
      </w:r>
    </w:p>
    <w:p>
      <w:r>
        <w:t xml:space="preserve">6. die Voraussetzungen, unter denen eine Akkreditierung oder eine Reakkreditierung entzogen werden kann sowie</w:t>
      </w:r>
    </w:p>
    <w:p>
      <w:r>
        <w:t xml:space="preserve">7. das Nähere zur Verbindung mit Verfahren, die über die berufszulassungsrechtliche Eignung eines Studiengangs entscheiden, sowie zur Umsetzung gemeinsamer Ausbildungsrahmen nach Artikel 49 a der Richtlinie 2005/36/EG in der jeweils geltenden Fassung.</w:t>
      </w:r>
    </w:p>
    <w:p>
      <w:r>
        <w:t xml:space="preserve">²Die Rechtsverordnungen nach Satz 1 sehen vor, dass bei der konkreten Festlegung der in den einzelnen Verfahren geltenden fachlich-inhaltlichen Kriterien die Hochschullehrerinnen und Hochschullehrer im Sinne des Artikels 3 Absatz 2 Satz 1 Nummer 5 die Mehrheit der Stimmen des für die Begutachtung zuständigen Gremiums besitzen.</w:t>
      </w:r>
    </w:p>
    <w:p>
      <w:r>
        <w:t xml:space="preserve">(4) Die Länder können durch Rechtsverordnungen darüber hinaus das Nähere zu den Verfahren gemäß Artikel 3 Absatz 1 Nummer 3 bestimmen.</w:t>
      </w:r>
    </w:p>
    <w:p>
      <w:r>
        <w:t xml:space="preserve">(5) Die Länder können durch Rechtsverordnung Regelungen zu den von den Agenturen zu erhebenden Entgelten, insbesondere zu den Entgelttatbeständen, zu Entgelthöhe und Entgeltbemessung treffen; es können feste Sätze oder Rahmenentgelte vorgesehen werden.</w:t>
      </w:r>
    </w:p>
    <w:p>
      <w:r>
        <w:t xml:space="preserve">(6) Die Rechtsverordnungen nach den Absätzen 1, 2, 3 und 5 müssen übereinstimmen, soweit dies zur Sicherung der Verpflichtung der Länder nach Artikel 1 Absatz 2 notwendig ist.</w:t>
      </w:r>
    </w:p>
    <w:p>
      <w:r>
        <w:rPr>
          <w:color w:val="555555"/>
          <w:sz w:val="17"/>
        </w:rPr>
        <w:t xml:space="preserve">Zitiervorschlag: Artikel 4 Studienakkreditierungsstaatsvertrag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https://recht.nulegal.eu/gesetze/sn-17508--2017/4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