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Artikel 17 Studienakkreditierungsstaatsvertrag (Sachsen) — Berufsakademien; Kirchenverträge</w:t>
      </w:r>
    </w:p>
    <w:p>
      <w:r>
        <w:rPr>
          <w:color w:val="555555"/>
          <w:sz w:val="18"/>
        </w:rPr>
        <w:t xml:space="preserve">Studienakkreditierungsstaatsvertrag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¹Für staatliche und staatlich anerkannte Berufsakademien gelten die Regelungen dieses Staatsvertrages und Regelungen, die auf der Grundlage dieses Staatsvertrages erlassen wurden, entsprechend. ²Ausbildungsgänge an staatlichen und staatlich anerkannten Berufsakademien gelten als Studiengänge im Sinne dieses Staatsvertrages.</w:t>
      </w:r>
    </w:p>
    <w:p>
      <w:r>
        <w:t xml:space="preserve">(2) Die staatskirchenrechtlichen Regelungen und Vereinbarungen bleiben unberührt.</w:t>
      </w:r>
    </w:p>
    <w:p>
      <w:r>
        <w:rPr>
          <w:color w:val="555555"/>
          <w:sz w:val="17"/>
        </w:rPr>
        <w:t xml:space="preserve">Zitiervorschlag: Artikel 17 Studienakkreditierungsstaatsvertrag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https://recht.nulegal.eu/gesetze/sn-17508--2017/17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Artikel 17 Studienakkreditierungsstaatsvertrag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