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RFinStV (Sachsen) — Aufbringung der Finanzausgleichsmasse</w:t>
      </w:r>
    </w:p>
    <w:p>
      <w:r>
        <w:rPr>
          <w:color w:val="555555"/>
          <w:sz w:val="18"/>
        </w:rPr>
        <w:t xml:space="preserve">Rundfunkfinanzierungsstaatsvertrag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Die Finanzausgleichsmasse wird von den in der ARD zusammengeschlossenen Landesrundfunkanstalten nach Maßgabe ihrer Finanzkraft gemäß der nach § 15 zwischen diesen Rundfunkanstalten abzuschließenden Vereinbarung aufgebracht.</w:t>
      </w:r>
    </w:p>
    <w:p>
      <w:r>
        <w:rPr>
          <w:color w:val="555555"/>
          <w:sz w:val="17"/>
        </w:rPr>
        <w:t xml:space="preserve">Zitiervorschlag: § 13 RFinStV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https://recht.nulegal.eu/gesetze/sn-1562--2001/13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