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Deutschlandradio-StV/DLR-StV (Sachsen) — Informationspflicht, Personalvertretungsrecht</w:t>
      </w:r>
    </w:p>
    <w:p>
      <w:r>
        <w:rPr>
          <w:color w:val="555555"/>
          <w:sz w:val="18"/>
        </w:rPr>
        <w:t xml:space="preserve">Deutschlandradio-StV</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rechtsverbindliche Berichtspflichten der Länder zum Rundfunk gegenüber zwischenstaatlichen Einrichtungen oder internationalen Organisationen in Bezug auf die Körperschaft bestehen, gilt § 16 Abs. 1 und 2 des Medienstaatsvertrages entsprechend.</w:t>
      </w:r>
    </w:p>
    <w:p>
      <w:r>
        <w:t xml:space="preserve">(2) Für die Körperschaft sind das Bundespersonalvertretungsgesetz und die dazu ergangenen Rechtsverordnungen in ihrer jeweils geltenden Fassung nach Maßgabe der für die „Deutsche Welle“ geltenden Vorschriften entsprechend anwendbar, sofern in diesem Staatsvertrag nichts Abweichendes geregelt ist. In den Fällen des § 71 Abs. 1 Satz 4 des Bundespersonalvertretungsgesetzes sind abweichend die Präsidenten der Oberverwaltungsgerichte der Sitzländer, beginnend mit Nordrhein-Westfalen, oder ein von ihnen Beauftragter mit der Befähigung zum Richteramt für zwei Jahre Vorsitzender der Einigungsstelle.</w:t>
      </w:r>
    </w:p>
    <w:p>
      <w:r>
        <w:t xml:space="preserve">(3) Der Intendant schafft mit Zustimmung des Verwaltungsrates für die von der Körperschaft beschäftigten arbeitnehmerähnlichen Personen im Sinne von § 12 a des Tarifvertragsgesetzes eine institutionalisierte Vertretung ihrer Interessen (Freienvertretung). Diese steht im regelmäßigen Austausch mit dem Intendanten. Näheres regelt ein Statut des Intendanten, das insbesondere die Modalitäten der Wahl sowie die Rahmenbedingungen für die Tätigkeit der Freienvertretung festlegt.</w:t>
      </w:r>
    </w:p>
    <w:p>
      <w:r>
        <w:rPr>
          <w:color w:val="555555"/>
          <w:sz w:val="17"/>
        </w:rPr>
        <w:t xml:space="preserve">Zitiervorschlag: § 33 Deutschlandradio-StV/DLR-StV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https://recht.nulegal.eu/gesetze/sn-1477/33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