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Deutschlandradio-StV/DLR-StV (Sachsen) — Finanzierung</w:t>
      </w:r>
    </w:p>
    <w:p>
      <w:r>
        <w:rPr>
          <w:color w:val="555555"/>
          <w:sz w:val="18"/>
        </w:rPr>
        <w:t xml:space="preserve">Deutschlandradio-StV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Körperschaft wird aus Mitteln des Rundfunkbeitrags gemäß den Bestimmungen des Rundfunkfinanzierungsstaatsvertrages finanziert. Sie deckt im Übrigen ihre Ausgaben durch sonstige Einnahmen.</w:t>
      </w:r>
    </w:p>
    <w:p>
      <w:r>
        <w:rPr>
          <w:color w:val="555555"/>
          <w:sz w:val="17"/>
        </w:rPr>
        <w:t xml:space="preserve">Zitiervorschlag: § 29 Deutschlandradio-StV/DLR-StV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https://recht.nulegal.eu/gesetze/sn-1477/29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