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27a Deutschlandradio-StV/DLR-StV (Sachsen) — Direktoren</w:t>
      </w:r>
    </w:p>
    <w:p>
      <w:r>
        <w:rPr>
          <w:color w:val="555555"/>
          <w:sz w:val="18"/>
        </w:rPr>
        <w:t xml:space="preserve">Deutschlandradio-StV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Unter Beachtung der Gesamtverantwortung des Intendanten sowie im Rahmen der Beschlüsse der Aufsichtsgremien und der Beratungen im Direktorium nach § 27b Abs. 2 leiten die nach § 27 Abs. 2 berufenen Direktoren ihren Geschäftsbereich selbstständig und in eigener Verantwortung. Der Intendant kann Gleiches für den Justitiar festlegen.</w:t>
      </w:r>
    </w:p>
    <w:p>
      <w:r>
        <w:rPr>
          <w:color w:val="555555"/>
          <w:sz w:val="17"/>
        </w:rPr>
        <w:t xml:space="preserve">Zitiervorschlag: § 27a Deutschlandradio-StV/DLR-StV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https://recht.nulegal.eu/gesetze/sn-1477/27a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