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Deutschlandradio-StV/DLR-StV (Sachsen) — Beweissicherung</w:t>
      </w:r>
    </w:p>
    <w:p>
      <w:r>
        <w:rPr>
          <w:color w:val="555555"/>
          <w:sz w:val="18"/>
        </w:rPr>
        <w:t xml:space="preserve">Deutschlandradio-StV</w:t>
      </w:r>
    </w:p>
    <w:p>
      <w:r>
        <w:rPr>
          <w:color w:val="555555"/>
          <w:sz w:val="18"/>
        </w:rPr>
        <w:t xml:space="preserve">Landesrecht Sachsen</w:t>
      </w:r>
    </w:p>
    <w:p>
      <w:r>
        <w:rPr>
          <w:color w:val="555555"/>
          <w:sz w:val="18"/>
        </w:rPr>
        <w:t xml:space="preserve">Stand: 26.08.2026 (konsolidierte Textfassung, kein amtliches Inkrafttretensdatum)</w:t>
      </w:r>
    </w:p>
    <w:p>
      <w:r>
        <w:t xml:space="preserve">(1) Von allen Hörfunksendungen, die die Körperschaft verbreitet, sind vollständige Tonaufzeichnungen herzustellen und aufzubewahren. Bei der Sendung einer Aufzeichnung kann abweichend von Satz 1 die Aufzeichnung aufbewahrt werden. Die Aufbewahrungsfrist beträgt drei Monate. Wird innerhalb dieser Frist eine Sendung beanstandet, so ist die Aufzeichnung aufzubewahren, bis die Beanstandung durch rechtskräftige gerichtliche Entscheidung, durch gerichtlichen Vergleich oder auf andere Weise erledigt ist.</w:t>
      </w:r>
    </w:p>
    <w:p>
      <w:r>
        <w:t xml:space="preserve">(2) Soweit die Körperschaft Telemedien anbietet oder Radiotext veranstaltet, stellt sie in geeigneter Weise sicher, dass berechtigten Interessen Dritter auf Beweissicherung angemessen Rechnung getragen wird.</w:t>
      </w:r>
    </w:p>
    <w:p>
      <w:r>
        <w:t xml:space="preserve">(3) Wer glaubhaft macht, in seinen Rechten betroffen zu sein, kann von der Körperschaft Einsicht in die Aufzeichnungen nach den Absätzen 1 und 2 verlangen und hiervon auf eigene Kosten von der Körperschaft Mehrfertigungen herstellen lassen. Die Glaubhaftmachung in Textform ist ausreichend.</w:t>
      </w:r>
    </w:p>
    <w:p>
      <w:r>
        <w:rPr>
          <w:color w:val="555555"/>
          <w:sz w:val="17"/>
        </w:rPr>
        <w:t xml:space="preserve">Zitiervorschlag: § 14 Deutschlandradio-StV/DLR-StV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https://recht.nulegal.eu/gesetze/sn-1477/14</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