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Deutschlandradio-StV/DLR-StV (Sachsen) — Auskunftspflicht</w:t>
      </w:r>
    </w:p>
    <w:p>
      <w:r>
        <w:rPr>
          <w:color w:val="555555"/>
          <w:sz w:val="18"/>
        </w:rPr>
        <w:t xml:space="preserve">Deutschlandradio-StV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Körperschaft hat auf Verlangen Namen und Dienstanschrift des Intendanten oder der sonstigen für Angebote Verantwortlichen mitzuteilen.</w:t>
      </w:r>
    </w:p>
    <w:p>
      <w:r>
        <w:rPr>
          <w:color w:val="555555"/>
          <w:sz w:val="17"/>
        </w:rPr>
        <w:t xml:space="preserve">Zitiervorschlag: § 13 Deutschlandradio-StV/DLR-StV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https://recht.nulegal.eu/gesetze/sn-1477/13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