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GKL-StV (Sachsen) — Gewinn- und Lotteriesteuerverteilung</w:t>
      </w:r>
    </w:p>
    <w:p>
      <w:r>
        <w:rPr>
          <w:color w:val="555555"/>
          <w:sz w:val="18"/>
        </w:rPr>
        <w:t xml:space="preserve">Staatsvertrag über die Gründung der GKL Gemeinsame Klassenlotterie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Gewinne und die Einnahmen aus der Lotteriesteuer sind angemessen unter den Vertragsländern aufzuteilen.</w:t>
      </w:r>
    </w:p>
    <w:p>
      <w:r>
        <w:t xml:space="preserve">(2) Der Gewinn aus der Veranstaltung der Glücksspiele und die Lotteriesteuer werden unter den Vertragsländern nach dem Verhältnis der Umsätze, die durch den Losabsatz an Spielteilnehmer mit Wohnsitz in dem jeweiligen Vertragsland erzielt wurden, zu den aus dem Losabsatz erzielten Umsätzen im gesamten Lotteriegebiet verteilt (Lotteriepotential).</w:t>
      </w:r>
    </w:p>
    <w:p>
      <w:r>
        <w:rPr>
          <w:color w:val="555555"/>
          <w:sz w:val="17"/>
        </w:rPr>
        <w:t xml:space="preserve">Zitiervorschlag: § 9 GKL-StV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https://recht.nulegal.eu/gesetze/sn-12483--2011/9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GKL-StV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