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Versorgungslastenteilungs-Staatsvertrag (Sachsen) — Dienstherrenwechsel</w:t>
      </w:r>
    </w:p>
    <w:p>
      <w:r>
        <w:rPr>
          <w:color w:val="555555"/>
          <w:sz w:val="18"/>
        </w:rPr>
        <w:t xml:space="preserve">Versorgungslastenteilungs-Staatsvertrag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¹Ein Dienstherrenwechsel liegt vor, wenn eine Person, die in einem Beamten-, Soldaten- oder Richterverhältnis zu einem in § 1 genannten Dienstherrn steht, bei diesem Dienstherrn ausscheidet und in ein Beamten-, Soldaten- oder Richterverhältnis zu einem anderen, in § 1 genannten Dienstherrn tritt. ²Ausgenommen sind Beamtinnen und Beamte auf Widerruf. ³Für landes- und bundesinterne Dienstherrenwechsel gilt der Staatsvertrag nur, wenn dies gesetzlich bestimmt ist.</w:t>
      </w:r>
    </w:p>
    <w:p>
      <w:r>
        <w:rPr>
          <w:color w:val="555555"/>
          <w:sz w:val="17"/>
        </w:rPr>
        <w:t xml:space="preserve">Zitiervorschlag: § 2 Versorgungslastenteilungs-Staatsvertrag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https://recht.nulegal.eu/gesetze/sn-11507--2010/2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Versorgungslastenteilungs-Staatsvertrag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