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Eingliederungsgesetz Görlitz/Hoyerswerda/Plauen (Sachsen) — Inkrafttreten; Außerkrafttreten</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 3, 5, 9, 10, 12 bis 15 und 17 treten am Tage nach der Verkündung dieses Gesetzes in Kraft. Im übrigen tritt dieses Gesetz am 1. Januar 1999 in Kraft. § 18 Abs. 1 Satz 2 und 3 tritt am 1. Januar 2004 außer Kraft.</w:t>
      </w:r>
    </w:p>
    <w:p>
      <w:r>
        <w:t xml:space="preserve">Das vorstehende Gesetz wird hiermit ausgefertigt und ist zu verkünden.</w:t>
      </w:r>
    </w:p>
    <w:p>
      <w:r>
        <w:t xml:space="preserve">Dresden, den 24. August 1998</w:t>
      </w:r>
    </w:p>
    <w:p>
      <w:r>
        <w:t xml:space="preserve">Der Landtagspräsident</w:t>
      </w:r>
    </w:p>
    <w:p>
      <w:r>
        <w:t xml:space="preserve">Erich Iltgen</w:t>
      </w:r>
    </w:p>
    <w:p>
      <w:r>
        <w:t xml:space="preserve">Der Ministerpräsident</w:t>
      </w:r>
    </w:p>
    <w:p>
      <w:r>
        <w:t xml:space="preserve">Prof. Dr. Kurt Biedenkopf</w:t>
      </w:r>
    </w:p>
    <w:p>
      <w:r>
        <w:t xml:space="preserve">Der Staatsminister des Innern</w:t>
      </w:r>
    </w:p>
    <w:p>
      <w:r>
        <w:t xml:space="preserve">In Vertretung</w:t>
      </w:r>
    </w:p>
    <w:p>
      <w:r>
        <w:t xml:space="preserve">Arnold Vaatz</w:t>
      </w:r>
    </w:p>
    <w:p>
      <w:r>
        <w:t xml:space="preserve">Der Staatsminister</w:t>
      </w:r>
    </w:p>
    <w:p>
      <w:r>
        <w:t xml:space="preserve">für Umwelt und Landesentwicklung</w:t>
      </w:r>
    </w:p>
    <w:p>
      <w:r>
        <w:rPr>
          <w:color w:val="555555"/>
          <w:sz w:val="17"/>
        </w:rPr>
        <w:t xml:space="preserve">Zitiervorschlag: § 19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