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Eingliederungsgesetz Görlitz/Hoyerswerda/Plauen (Sachsen) — Künftige Gebietsänderungen</w:t>
      </w:r>
    </w:p>
    <w:p>
      <w:r>
        <w:rPr>
          <w:color w:val="555555"/>
          <w:sz w:val="18"/>
        </w:rPr>
        <w:t xml:space="preserve">Eingliederungsgesetz Görlitz/Hoyerswerda/Plauen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Städte Görlitz, Hoyerswerda und Plauen können nach Inkrafttreten der §§ 1 und 2 freiwillige Gemeindegebietsänderungen gemäß §§ 8 und 9 SächsGemO vereinbaren.</w:t>
      </w:r>
    </w:p>
    <w:p>
      <w:r>
        <w:t xml:space="preserve">(2) § 127 Abs. 1 Nr. 7 SächsGemO bleibt durch die Bestimmungen dieses Gesetzes unberührt.</w:t>
      </w:r>
    </w:p>
    <w:p>
      <w:r>
        <w:rPr>
          <w:color w:val="555555"/>
          <w:sz w:val="17"/>
        </w:rPr>
        <w:t xml:space="preserve">Zitiervorschlag: § 18 Eingliederungsgesetz Görlitz/Hoyerswerda/Plauen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https://recht.nulegal.eu/gesetze/sn-1133/18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