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Eingliederungsgesetz Görlitz/Hoyerswerda/Plauen (Sachsen) — Stichtag</w:t>
      </w:r>
    </w:p>
    <w:p>
      <w:r>
        <w:rPr>
          <w:color w:val="555555"/>
          <w:sz w:val="18"/>
        </w:rPr>
        <w:t xml:space="preserve">Eingliederungsgesetz Görlitz/Hoyerswerda/Plauen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die Anwendung von § 1 Abs. 1 Nr. 1 und 2, § 1 Abs. 2 und § 2 ist der Flurstücksbestand des Liegenschaftskatasters am 1. Juli 1997 maßgebend. Für § 1 Abs. 1 Nr. 3 ist der Flurstücksbestand des Liegenschaftskatasters am 1. Juni 1998 maßgebend.</w:t>
      </w:r>
    </w:p>
    <w:p>
      <w:r>
        <w:rPr>
          <w:color w:val="555555"/>
          <w:sz w:val="17"/>
        </w:rPr>
        <w:t xml:space="preserve">Zitiervorschlag: § 16 Eingliederungsgesetz Görlitz/Hoyerswerda/Plauen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https://recht.nulegal.eu/gesetze/sn-1133/16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