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SGleiG — Personalwerbung, Dienstpostenbekanntgabe</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Anzeigen zur Personalwerbung sowie Dienstpostenbekanntgaben für die Streitkräfte müssen sowohl Frauen als auch Männer ansprechen. Der gesamte Anzeigentext darf nicht nur auf Personen eines Geschlechts zugeschnitten sein. In Anzeigen für Bereiche, in denen Soldatinnen nach Maßgabe des § 4 Abs. 5 unterrepräsentiert sind, ist hervorzuheben, dass Bewerbungen von Frauen erwünscht sind und Frauen bei gleicher Qualifikation bevorzugt eingestellt werden.</w:t>
      </w:r>
    </w:p>
    <w:p>
      <w:r>
        <w:t xml:space="preserve">(2) Anzeigen zur Personalwerbung müssen im Hinblick auf mögliche künftige Funktionen der Bewerberinnen und Bewerber das vorausgesetzte Anforderungs- und Qualifikationsprofil der Laufbahn oder der Verwendungsbereiche, mindestens jedoch einen Hinweis auf den Zugang zu entsprechenden Informationen, enthalten. Dienstpostenbekanntgaben müssen mit den Anforderungen der zu besetzenden Dienstposten übereinstimmen.</w:t>
      </w:r>
    </w:p>
    <w:p>
      <w:r>
        <w:rPr>
          <w:color w:val="555555"/>
          <w:sz w:val="17"/>
        </w:rPr>
        <w:t xml:space="preserve">Zitiervorschlag: § 6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