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SGleiG — Grundsatz, entsprechende Anwendung von Vorschriften</w:t>
      </w:r>
    </w:p>
    <w:p>
      <w:r>
        <w:rPr>
          <w:color w:val="555555"/>
          <w:sz w:val="18"/>
        </w:rPr>
        <w:t xml:space="preserve">Soldatinnen- und Soldatengleichstellungsgesetz</w:t>
      </w:r>
    </w:p>
    <w:p>
      <w:r>
        <w:rPr>
          <w:color w:val="555555"/>
          <w:sz w:val="18"/>
        </w:rPr>
        <w:t xml:space="preserve">Historische Fassung: Stand 10.06.2019 bis 25.01.2024. Dies ist nicht die aktuelle Fassung.</w:t>
      </w:r>
    </w:p>
    <w:p>
      <w:r>
        <w:t xml:space="preserve">(1) Dieser Abschnitt ist anzuwenden, soweit nicht ein bestimmtes Geschlecht unverzichtbare Voraussetzung für die auszuübende Tätigkeit ist.</w:t>
      </w:r>
    </w:p>
    <w:p>
      <w:r>
        <w:t xml:space="preserve">(2) Bei Verstößen der Dienststellen gegen die Benachteiligungsverbote bei Begründung eines Dienstverhältnisses und beim beruflichen Aufstieg findet § 12 des Soldatinnen- und Soldaten-Gleichbehandlungsgesetzes Anwendung.</w:t>
      </w:r>
    </w:p>
    <w:p>
      <w:r>
        <w:rPr>
          <w:color w:val="555555"/>
          <w:sz w:val="17"/>
        </w:rPr>
        <w:t xml:space="preserve">Zitiervorschlag: § 5 SGleiG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https://recht.nulegal.eu/gesetze/sgleig--2004/5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