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SGleiG — Geltungsbereich</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(weggefallen)</w:t>
      </w:r>
    </w:p>
    <w:p>
      <w:r>
        <w:t xml:space="preserve">(2) Bei der Ausgliederung von Aufgaben des Geschäftsbereichs des Bundesministeriums der Verteidigung in die Rechtsform eines Unternehmens des privaten Rechts soll auf die entsprechende Anwendung dieses Gesetzes hingewirkt werden.</w:t>
      </w:r>
    </w:p>
    <w:p>
      <w:r>
        <w:t xml:space="preserve">(3) Bei der Gewährung von freiwilligen staatlichen Leistungen durch Dienststellen im Geschäftsbereich des Bundesministeriums der Verteidigung an Institutionen soll durch vertragliche Vereinbarungen sichergestellt werden, dass diese Institutionen die Grundzüge dieses Gesetzes anwenden.</w:t>
      </w:r>
    </w:p>
    <w:p>
      <w:r>
        <w:t xml:space="preserve">(4) Dieses Gesetz ist im Spannungs- und Verteidigungsfall nicht anwendbar.</w:t>
      </w:r>
    </w:p>
    <w:p>
      <w:r>
        <w:t xml:space="preserve">(5) Im Rahmen von besonderen Auslandsverwendungen gilt dieses Gesetz, es sei denn, das Bundesministerium der Verteidigung erklärt es im Einzelfall zur Gewährleistung der Sicherheit oder Einsatzbereitschaft der eingesetzten Truppen für nicht oder nur eingeschränkt anwendbar; in diesem Fall hat das Bundesministerium der Verteidigung den Deutschen Bundestag hierüber unverzüglich zu unterrichten.</w:t>
      </w:r>
    </w:p>
    <w:p>
      <w:r>
        <w:rPr>
          <w:color w:val="555555"/>
          <w:sz w:val="17"/>
        </w:rPr>
        <w:t xml:space="preserve">Zitiervorschlag: § 3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