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SGleiG — Einspruchsrecht</w:t>
      </w:r>
    </w:p>
    <w:p>
      <w:r>
        <w:rPr>
          <w:color w:val="555555"/>
          <w:sz w:val="18"/>
        </w:rPr>
        <w:t xml:space="preserve">Soldatinnen- und Soldatengleichstellungsgesetz</w:t>
      </w:r>
    </w:p>
    <w:p>
      <w:r>
        <w:rPr>
          <w:color w:val="555555"/>
          <w:sz w:val="18"/>
        </w:rPr>
        <w:t xml:space="preserve">Historische Fassung: Stand 10.06.2019 bis 25.01.2024. Dies ist nicht die aktuelle Fassung.</w:t>
      </w:r>
    </w:p>
    <w:p>
      <w:r>
        <w:t xml:space="preserve">(1) Bei Verstößen der Dienststelle gegen dieses Gesetz oder gegen andere Vorschriften über die Gleichstellung von Soldatinnen und Soldaten sowie gegen den Gleichstellungsplan hat die Gleichstellungsbeauftragte gegenüber der Dienststellenleitung ein Einspruchsrecht. Den Einspruch hat sie innerhalb einer Woche nach ihrer Kenntniserlangung schriftlich bei der Dienststellenleitung einzulegen. Er hat keine aufschiebende Wirkung. Die Dienststellenleitung kann die Vollziehung einer Maßnahme, gegen die sich der Einspruch richtet, bis zur Entscheidung über den Einspruch aussetzen.</w:t>
      </w:r>
    </w:p>
    <w:p>
      <w:r>
        <w:t xml:space="preserve">(2) Die Dienststellenleitung soll über den Einspruch innerhalb einer Frist von einem Monat nach Zugang des Einspruchs entscheiden. Hält sie den Einspruch für begründet, sind die Maßnahmen und ihre Folgen zu berichtigen sowie die Ergebnisse des Einspruchs bei weiteren vergleichbaren Fällen zu berücksichtigen.</w:t>
      </w:r>
    </w:p>
    <w:p>
      <w:r>
        <w:t xml:space="preserve">(3) Hält die Dienststellenleitung den Einspruch für unbegründet, legt sie diesen der nächsthöheren Dienststellenleitung unverzüglich vor. Absatz 2 gilt entsprechend.</w:t>
      </w:r>
    </w:p>
    <w:p>
      <w:r>
        <w:t xml:space="preserve">(4) (weggefallen)</w:t>
      </w:r>
    </w:p>
    <w:p>
      <w:r>
        <w:rPr>
          <w:color w:val="555555"/>
          <w:sz w:val="17"/>
        </w:rPr>
        <w:t xml:space="preserve">Zitiervorschlag: § 21 SGleiG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https://recht.nulegal.eu/gesetze/sgleig--2004/21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