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SGleiG — Grundsätze</w:t>
      </w:r>
    </w:p>
    <w:p>
      <w:r>
        <w:rPr>
          <w:color w:val="555555"/>
          <w:sz w:val="18"/>
        </w:rPr>
        <w:t xml:space="preserve">Soldatinnen- und Soldatengleichstellungsgesetz</w:t>
      </w:r>
    </w:p>
    <w:p>
      <w:r>
        <w:rPr>
          <w:color w:val="555555"/>
          <w:sz w:val="18"/>
        </w:rPr>
        <w:t xml:space="preserve">Historische Fassung: Stand 10.06.2019 bis 25.01.2024. Dies ist nicht die aktuelle Fassung.</w:t>
      </w:r>
    </w:p>
    <w:p>
      <w:r>
        <w:t xml:space="preserve">(1) Die Gleichstellungsbeauftragte wird in geheimer Wahl gewählt. Wiederwahl ist zulässig.</w:t>
      </w:r>
    </w:p>
    <w:p>
      <w:r>
        <w:t xml:space="preserve">(2) Die gewählte Kandidatin wird von der Dienststelle für vier Jahre zur Gleichstellungsbeauftragten bestellt. Findet sich keine Kandidatin, bestellt die Dienststelle eine Gleichstellungsbeauftragte aus dem Kreis der wahlberechtigten Soldatinnen bis zur Bestellung einer gewählten Kandidatin. Die Bestellung bedarf der Zustimmung der Soldatin.</w:t>
      </w:r>
    </w:p>
    <w:p>
      <w:r>
        <w:t xml:space="preserve">(3) Für die Gleichstellungsbeauftragte wird eine Stellvertreterin gewählt und bestellt. Bei großen Zuständigkeits- oder komplexen Aufgabenbereichen werden zwei Stellvertreterinnen gewählt und bestellt.</w:t>
      </w:r>
    </w:p>
    <w:p>
      <w:r>
        <w:t xml:space="preserve">(4) Für die Wahl und die Bestellung der Stellvertreterin gelten die Absätze 1 und 2 mit der Maßgabe entsprechend, dass im Fall des Absatzes 2 Satz 2 die Gleichstellungsbeauftragte ein Vorschlagsrecht hat; ihrem Vorschlag soll gefolgt werden.</w:t>
      </w:r>
    </w:p>
    <w:p>
      <w:r>
        <w:t xml:space="preserve">(5) Die Gleichstellungsbeauftragte und ihre Stellvertreterin dürfen während ihrer Amtszeit weder einer Personalvertretung noch einer Schwerbehindertenvertretung angehören und nur in ihrer Eigenschaft als Gleichstellungsbeauftragte mit Personalangelegenheiten befasst sein. Sie dürfen auch nicht zugleich Vertrauensperson nach dem Soldatenbeteiligungsgesetz sein.</w:t>
      </w:r>
    </w:p>
    <w:p>
      <w:r>
        <w:rPr>
          <w:color w:val="555555"/>
          <w:sz w:val="17"/>
        </w:rPr>
        <w:t xml:space="preserve">Zitiervorschlag: § 16 SGleiG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https://recht.nulegal.eu/gesetze/sgleig--2004/16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