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SGleiG — Teilzeitbeschäftigung und familienbedingte Beurlaubung</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Für Soldatinnen und Soldaten ist nach Maßgabe des § 30a des Soldatengesetzes Teilzeitbeschäftigung sowie nach Maßgabe des § 28 Abs. 5 und 7 des Soldatengesetzes familienbedingte Beurlaubung zu ermöglichen.</w:t>
      </w:r>
    </w:p>
    <w:p>
      <w:r>
        <w:t xml:space="preserve">(2) Soldatinnen und Soldaten, die eine Teilzeitbeschäftigung oder eine familienbedingte Beurlaubung beantragen, sind durch ihre jeweilige personalbearbeitende Dienststelle insbesondere auf die dienst- und versorgungsrechtlichen Folgen hinzuweisen.</w:t>
      </w:r>
    </w:p>
    <w:p>
      <w:r>
        <w:t xml:space="preserve">(3) Die Dienststelle hat darauf zu achten, dass die Soldatinnen und Soldaten in Teilzeitbeschäftigung eine ihrer ermäßigten Arbeitszeit entsprechende Entlastung von ihren dienstlichen Aufgaben erhalten und sich daraus für die anderen Soldatinnen und Soldaten der Dienststelle keine unzumutbaren dienstlichen Mehrbelastungen ergeben.</w:t>
      </w:r>
    </w:p>
    <w:p>
      <w:r>
        <w:rPr>
          <w:color w:val="555555"/>
          <w:sz w:val="17"/>
        </w:rPr>
        <w:t xml:space="preserve">Zitiervorschlag: § 13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