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SGleiG — Familiengerechte Arbeitszeiten und Rahmenbedingungen</w:t>
      </w:r>
    </w:p>
    <w:p>
      <w:r>
        <w:rPr>
          <w:color w:val="555555"/>
          <w:sz w:val="18"/>
        </w:rPr>
        <w:t xml:space="preserve">Soldatinnen- und Soldatengleichstellungsgesetz</w:t>
      </w:r>
    </w:p>
    <w:p>
      <w:r>
        <w:rPr>
          <w:color w:val="555555"/>
          <w:sz w:val="18"/>
        </w:rPr>
        <w:t xml:space="preserve">Historische Fassung: Stand 10.06.2019 bis 25.01.2024. Dies ist nicht die aktuelle Fassung.</w:t>
      </w:r>
    </w:p>
    <w:p>
      <w:r>
        <w:t xml:space="preserve">Die Dienststelle hat Arbeitszeiten und sonstige Rahmenbedingungen anzubieten, die Soldatinnen und Soldaten die Vereinbarkeit von Familie und Dienst erleichtern, soweit wichtige dienstliche Gründe nicht entgegenstehen.</w:t>
      </w:r>
    </w:p>
    <w:p>
      <w:r>
        <w:rPr>
          <w:color w:val="555555"/>
          <w:sz w:val="17"/>
        </w:rPr>
        <w:t xml:space="preserve">Zitiervorschlag: § 12 SGleiG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https://recht.nulegal.eu/gesetze/sgleig--2004/12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