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SGleiG — Ziel des Gesetzes</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Dieses Gesetz dient der Gleichstellung von Soldatinnen und Soldaten der Bundeswehr sowie der Beseitigung bestehender und der Verhinderung künftiger Diskriminierungen wegen des Geschlechts. Nach Maßgabe dieses Gesetzes werden Soldatinnen gefördert, um bestehende Benachteiligungen abzubauen. Ziel des Gesetzes ist es auch, die Vereinbarkeit von Familie und Dienst für Soldatinnen und Soldaten zu verbessern. Die Auftragserfüllung der Streitkräfte wird dadurch nicht beeinträchtigt.</w:t>
      </w:r>
    </w:p>
    <w:p>
      <w:r>
        <w:t xml:space="preserve">(2) Rechts- und Verwaltungsvorschriften für Soldatinnen und Soldaten sollen die Gleichstellung von Frauen und Männern auch sprachlich zum Ausdruck bringen. Dies gilt auch für den dienstlichen Schriftverkehr.</w:t>
      </w:r>
    </w:p>
    <w:p>
      <w:r>
        <w:t xml:space="preserve">(3) Für Soldatinnen können Dienstgradbezeichnungen in weiblicher Form festgesetzt werden.</w:t>
      </w:r>
    </w:p>
    <w:p>
      <w:r>
        <w:rPr>
          <w:color w:val="555555"/>
          <w:sz w:val="17"/>
        </w:rPr>
        <w:t xml:space="preserve">Zitiervorschlag: § 1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