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SeeUnterkunftsV — Übergangsvorschriften</w:t>
      </w:r>
    </w:p>
    <w:p>
      <w:r>
        <w:rPr>
          <w:color w:val="555555"/>
          <w:sz w:val="18"/>
        </w:rPr>
        <w:t xml:space="preserve">See-Unterkunftsverordnung</w:t>
      </w:r>
    </w:p>
    <w:p>
      <w:r>
        <w:rPr>
          <w:color w:val="555555"/>
          <w:sz w:val="18"/>
        </w:rPr>
        <w:t xml:space="preserve">Historische Fassung: Stand 10.06.2019 bis 31.10.2019. Dies ist nicht die aktuelle Fassung.</w:t>
      </w:r>
    </w:p>
    <w:p>
      <w:r>
        <w:t xml:space="preserve">(1) Abweichend von § 1 Absatz 1 sind auf Schiffe, die vor dem 1. August 2013 auf Kiel gelegt worden sind,</w:t>
      </w:r>
    </w:p>
    <w:p>
      <w:pPr>
        <w:ind w:left="420"/>
      </w:pPr>
      <w:r>
        <w:t xml:space="preserve">1. der § 3 mit der Maßgabe, dass an die Stelle des Standes der Technik die allgemein anerkannten Regeln der Technik treten; der § 5, der § 17 Absatz 4 und der § 28 Absatz 2 dieser Verordnung,</w:t>
      </w:r>
    </w:p>
    <w:p>
      <w:pPr>
        <w:ind w:left="420"/>
      </w:pPr>
      <w:r>
        <w:t xml:space="preserve">2. im Übrigen die zum jeweiligen Kiellegungszeitpunkt geltenden Rechtsvorschriften zu Unterkünften, Freizeiteinrichtungen und medizinischen Räumlichkeiten</w:t>
      </w:r>
    </w:p>
    <w:p>
      <w:r>
        <w:t xml:space="preserve">anzuwenden.</w:t>
      </w:r>
    </w:p>
    <w:p>
      <w:r>
        <w:t xml:space="preserve">(2) Ein Schiff, das von einer ausländischen Flagge zur Bundesflagge wechselt, muss</w:t>
      </w:r>
    </w:p>
    <w:p>
      <w:pPr>
        <w:ind w:left="420"/>
      </w:pPr>
      <w:r>
        <w:t xml:space="preserve">1. wenn es vor dem 1. August 2013 auf Kiel gelegt worden ist, den Anforderungen</w:t>
      </w:r>
    </w:p>
    <w:p>
      <w:pPr>
        <w:ind w:left="780"/>
      </w:pPr>
      <w:r>
        <w:t xml:space="preserve">a) des Übereinkommens Nr. 92 der Internationalen Arbeitsorganisation über die Quartierräume der Besatzung an Bord von Schiffen (Neufassung vom Jahre 1949) vom 18. Juni 1949 (BGBl. 1974 II S. 842),</w:t>
      </w:r>
    </w:p>
    <w:p>
      <w:pPr>
        <w:ind w:left="780"/>
      </w:pPr>
      <w:r>
        <w:t xml:space="preserve">b) des Übereinkommens Nr. 133 der Internationalen Arbeitsorganisation über die Quartierräume der Besatzung an Bord von Schiffen (zusätzliche Bestimmungen) vom 30. Oktober 1970 (BGBl. 1974 II S. 863) und</w:t>
      </w:r>
    </w:p>
    <w:p>
      <w:pPr>
        <w:ind w:left="780"/>
      </w:pPr>
      <w:r>
        <w:t xml:space="preserve">c) der §§ 21 bis 23 dieser Verordnung,</w:t>
      </w:r>
    </w:p>
    <w:p>
      <w:pPr>
        <w:ind w:left="420"/>
      </w:pPr>
      <w:r>
        <w:t xml:space="preserve">2. wenn es nach dem 31. Juli 2013 auf Kiel gelegt wird, den Anforderungen dieser Verordnung</w:t>
      </w:r>
    </w:p>
    <w:p>
      <w:r>
        <w:t xml:space="preserve">entsprechen.</w:t>
      </w:r>
    </w:p>
    <w:p>
      <w:r>
        <w:t xml:space="preserve">(3) Im Einzelfall kann die Berufsgenossenschaft Ausnahmen von Absatz 2 Nummer 2 zulassen, wenn dadurch die Gesundheit und das Wohlbefinden der Besatzungsmitglieder nicht beeinträchtigt werden.</w:t>
      </w:r>
    </w:p>
    <w:p>
      <w:r>
        <w:rPr>
          <w:color w:val="555555"/>
          <w:sz w:val="17"/>
        </w:rPr>
        <w:t xml:space="preserve">Zitiervorschlag: § 30 SeeUnterkunftsV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https://recht.nulegal.eu/gesetze/seeunterkunftsv--2013/30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