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SeeLAuFV — Ziel und Dauer der Ausbildung</w:t>
      </w:r>
    </w:p>
    <w:p>
      <w:r>
        <w:rPr>
          <w:color w:val="555555"/>
          <w:sz w:val="18"/>
        </w:rPr>
        <w:t xml:space="preserve">Seelotsenaus- und -fortbildungsverordnung</w:t>
      </w:r>
    </w:p>
    <w:p>
      <w:r>
        <w:rPr>
          <w:color w:val="555555"/>
          <w:sz w:val="18"/>
        </w:rPr>
        <w:t xml:space="preserve">Historische Fassung: Stand 10.06.2019 bis 25.02.2023. Dies ist nicht die aktuelle Fassung.</w:t>
      </w:r>
    </w:p>
    <w:p>
      <w:r>
        <w:t xml:space="preserve">(1) Die Ausbildung soll den Seelotsenanwärtern die theoretischen und praktischen Kenntnisse und Fertigkeiten vermitteln, die erforderlich sind, um Schiffsführungen als Seelotse sicher beraten zu können.</w:t>
      </w:r>
    </w:p>
    <w:p>
      <w:r>
        <w:t xml:space="preserve">(2) Erforderlich sind die für eine sichere Lotsung notwendigen Kenntnisse über</w:t>
      </w:r>
    </w:p>
    <w:p>
      <w:pPr>
        <w:ind w:left="420"/>
      </w:pPr>
      <w:r>
        <w:t xml:space="preserve">1. das Lotsrevier mit seinen Besonderheiten und Schwierigkeiten, unter Berücksichtigung der Sicherheit des Verkehrs, des maritimen Umweltschutzes und der Schiffssicherheit,</w:t>
      </w:r>
    </w:p>
    <w:p>
      <w:pPr>
        <w:ind w:left="420"/>
      </w:pPr>
      <w:r>
        <w:t xml:space="preserve">2. die Handhabung des Lotsdienstes und die Durchführung der Lotsberatung in dem Revier,</w:t>
      </w:r>
    </w:p>
    <w:p>
      <w:pPr>
        <w:ind w:left="420"/>
      </w:pPr>
      <w:r>
        <w:t xml:space="preserve">3. die Verwaltung der Bundeswasserstraßen und die Aufgaben des Bundes auf dem Gebiet der Schifffahrt,</w:t>
      </w:r>
    </w:p>
    <w:p>
      <w:pPr>
        <w:ind w:left="420"/>
      </w:pPr>
      <w:r>
        <w:t xml:space="preserve">4. die verkehrlichen Grundregeln, die Maritime Verkehrssicherung, Maßnahmen bei Seeunfällen sowie weitere für das Lotswesen und die Schifffahrt geltende Bestimmungen und Bekanntmachungen,</w:t>
      </w:r>
    </w:p>
    <w:p>
      <w:pPr>
        <w:ind w:left="420"/>
      </w:pPr>
      <w:r>
        <w:t xml:space="preserve">5. die Nutzung technischer Hilfsmittel für Navigation und Nachrichtenübermittlung und</w:t>
      </w:r>
    </w:p>
    <w:p>
      <w:pPr>
        <w:ind w:left="420"/>
      </w:pPr>
      <w:r>
        <w:t xml:space="preserve">6. die nächstgelegenen Reviere und Seegebiete.</w:t>
      </w:r>
    </w:p>
    <w:p>
      <w:r>
        <w:t xml:space="preserve">(3) Die Dauer der Ausbildung beträgt acht Monate. Unterbrechungen durch Krankheit von insgesamt zwölf Tagen Dauer können auf die Ausbildungszeit angerechnet werden, wenn der Ältermann gegenüber der Aufsichtsbehörde schriftlich bestätigt, dass dadurch die Erreichung des Ausbildungszieles nicht gefährdet wird.</w:t>
      </w:r>
    </w:p>
    <w:p>
      <w:r>
        <w:rPr>
          <w:color w:val="555555"/>
          <w:sz w:val="17"/>
        </w:rPr>
        <w:t xml:space="preserve">Zitiervorschlag: § 2 SeeLAuFV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https://recht.nulegal.eu/gesetze/seelaufv--2014/2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