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SeeLAuFV — Durchführung der Ausbildung</w:t>
      </w:r>
    </w:p>
    <w:p>
      <w:r>
        <w:rPr>
          <w:color w:val="555555"/>
          <w:sz w:val="18"/>
        </w:rPr>
        <w:t xml:space="preserve">Seelotsenaus- und -fortbildungsverordnung</w:t>
      </w:r>
    </w:p>
    <w:p>
      <w:r>
        <w:rPr>
          <w:color w:val="555555"/>
          <w:sz w:val="18"/>
        </w:rPr>
        <w:t xml:space="preserve">Historische Fassung: Stand 10.06.2019 bis 25.02.2023. Dies ist nicht die aktuelle Fassung.</w:t>
      </w:r>
    </w:p>
    <w:p>
      <w:r>
        <w:t xml:space="preserve">Die Ausbildung der Seelotsenanwärter obliegt der Lotsenbrüderschaft des Seelotsreviers, für das die Anwärter ausgewählt worden sind. Die Aufsichtsbehörde überwacht die Ausbildung.</w:t>
      </w:r>
    </w:p>
    <w:p>
      <w:r>
        <w:rPr>
          <w:color w:val="555555"/>
          <w:sz w:val="17"/>
        </w:rPr>
        <w:t xml:space="preserve">Zitiervorschlag: § 1 SeeLAuFV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https://recht.nulegal.eu/gesetze/seelaufv--2014/1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SeeLAuFV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