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SchlärmschG — Zuständige Behörden</w:t>
      </w:r>
    </w:p>
    <w:p>
      <w:r>
        <w:rPr>
          <w:color w:val="555555"/>
          <w:sz w:val="18"/>
        </w:rPr>
        <w:t xml:space="preserve">Schienenlärmschutzgesetz</w:t>
      </w:r>
    </w:p>
    <w:p>
      <w:r>
        <w:rPr>
          <w:color w:val="555555"/>
          <w:sz w:val="18"/>
        </w:rPr>
        <w:t xml:space="preserve">Historische Fassung: Stand 10.06.2019 bis 15.12.2024. Dies ist nicht die aktuelle Fassung.</w:t>
      </w:r>
    </w:p>
    <w:p>
      <w:r>
        <w:t xml:space="preserve">Zuständige Behörde für die Durchführung und Überwachung dieses Gesetzes auf den Schienenwegen der Eisenbahnen des Bundes ist das Eisenbahn-Bundesamt. Auf anderen Schienenwegen nimmt die nach Landesrecht zuständige Behörde diese Aufgabe wahr. Die Zuständigkeit der Regulierungsbehörde bleibt unberührt.</w:t>
      </w:r>
    </w:p>
    <w:p>
      <w:r>
        <w:rPr>
          <w:color w:val="555555"/>
          <w:sz w:val="17"/>
        </w:rPr>
        <w:t xml:space="preserve">Zitiervorschlag: § 9 SchlärmschG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https://recht.nulegal.eu/gesetze/schl_rmschg--2017/9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