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SchlärmschG — Auskunftspflichten für Betreiber der Schienenwege und für Zugangsberechtigte</w:t>
      </w:r>
    </w:p>
    <w:p>
      <w:r>
        <w:rPr>
          <w:color w:val="555555"/>
          <w:sz w:val="18"/>
        </w:rPr>
        <w:t xml:space="preserve">Schienenlärmschutzgesetz</w:t>
      </w:r>
    </w:p>
    <w:p>
      <w:r>
        <w:rPr>
          <w:color w:val="555555"/>
          <w:sz w:val="18"/>
        </w:rPr>
        <w:t xml:space="preserve">Historische Fassung: Stand 01.07.2021 bis 15.12.2024. Dies ist nicht die aktuelle Fassung.</w:t>
      </w:r>
    </w:p>
    <w:p>
      <w:r>
        <w:t xml:space="preserve">(1) Die Zugangsberechtigten sind verpflichtet, dem Betreiber der Schienenwege bei der Beantragung von Schienenwegkapazität sowohl zum Netzfahrplan als auch im Gelegenheitsverkehr mitzuteilen, ob laute Güterwagen in den Zug eingestellt werden. Liegt für die lauten Güterwagen eine Befreiung nach § 5 vor, ist die Befreiung bei der Antragstellung anzugeben und vor der Nutzung der Schienenwegkapazität dem Betreiber der Schienenwege nachzuweisen.</w:t>
      </w:r>
    </w:p>
    <w:p>
      <w:r>
        <w:t xml:space="preserve">(2) Die Betreiber der Schienenwege und die Zugangsberechtigten sind verpflichtet, den zuständigen Behörden auf deren Verlangen innerhalb von einem Monat folgende Daten zu übermitteln:</w:t>
      </w:r>
    </w:p>
    <w:p>
      <w:pPr>
        <w:ind w:left="420"/>
      </w:pPr>
      <w:r>
        <w:t xml:space="preserve">1. die Daten, die zur Überwachung der Einhaltung des Verbots nach § 3 Absatz 1 erforderlich sind,</w:t>
      </w:r>
    </w:p>
    <w:p>
      <w:pPr>
        <w:ind w:left="420"/>
      </w:pPr>
      <w:r>
        <w:t xml:space="preserve">2. die Daten, die zum Nachweis des Ausnahmetatbestands nach § 4 erforderlich sind,</w:t>
      </w:r>
    </w:p>
    <w:p>
      <w:pPr>
        <w:ind w:left="420"/>
      </w:pPr>
      <w:r>
        <w:t xml:space="preserve">3. die Daten, die zum Nachweis des Befreiungstatbestands nach § 5 Absatz 1 erforderlich sind.</w:t>
      </w:r>
    </w:p>
    <w:p>
      <w:r>
        <w:t xml:space="preserve">(3) Die Übermittlung hat kostenfrei zu erfolgen. Die zuständige Behörde kann Einzelheiten zur Art und Aufbereitung der Daten bestimmen. Die Daten nach Absatz 2 sind auf Verlangen der zuständigen Behörde elektronisch zu übermitteln.</w:t>
      </w:r>
    </w:p>
    <w:p>
      <w:r>
        <w:t xml:space="preserve">(4) Die Betreiber der Schienenwege und die Zugangsberechtigten sind verpflichtet, die in Absatz 2 genannten Daten nach Durchführung der Zugfahrt auf der zugewiesenen Trasse für mindestens zwölf Monate bereitzuhalten.</w:t>
      </w:r>
    </w:p>
    <w:p>
      <w:r>
        <w:rPr>
          <w:color w:val="555555"/>
          <w:sz w:val="17"/>
        </w:rPr>
        <w:t xml:space="preserve">Zitiervorschlag: § 8 SchlärmschG</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https://recht.nulegal.eu/gesetze/schl_rmschg--2017/8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