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SchlärmschG — Pflichten der Betreiber der Schienenwege und der Zugangsberechtigten</w:t>
      </w:r>
    </w:p>
    <w:p>
      <w:r>
        <w:rPr>
          <w:color w:val="555555"/>
          <w:sz w:val="18"/>
        </w:rPr>
        <w:t xml:space="preserve">Schienenlärmschutzgesetz</w:t>
      </w:r>
    </w:p>
    <w:p>
      <w:r>
        <w:rPr>
          <w:color w:val="555555"/>
          <w:sz w:val="18"/>
        </w:rPr>
        <w:t xml:space="preserve">Historische Fassung: Stand 10.06.2019 bis 15.12.2024. Dies ist nicht die aktuelle Fassung.</w:t>
      </w:r>
    </w:p>
    <w:p>
      <w:r>
        <w:t xml:space="preserve">(1) Die Ausnahmen gemäß § 4 gelten ausschließlich für den Gelegenheitsverkehr. Dabei darf die Schienenwegkapazität für laute Güterzüge frühestens fünf Arbeitstage vor der beabsichtigten Trassennutzung an den Zugangsberechtigten vergeben werden. Bei der Trassenkonstruktion zu berücksichtigen ist die Kapazität, die bis fünf Arbeitstage vor der beabsichtigten Trassennutzung nicht für andere Trassen in Anspruch genommen wurde.</w:t>
      </w:r>
    </w:p>
    <w:p>
      <w:r>
        <w:t xml:space="preserve">(2) Die Betreiber der Schienenwege dürfen nur solche Schienenwegkapazität zuweisen, bei der das Geschwindigkeitsprofil so konstruiert ist, dass der maximal zulässige Schallleistungspegel nicht überschritten wird. Kann der Zugangsberechtigte bei der Beantragung von Schienenwegkapazität nicht ausschließen, dass ein Güterzug, für den die Zuweisung der Schienenwegkapazität beantragt wird, auch laute Güterwagen umfasst, darf nur die Zuweisung solcher Schienenwegkapazität beantragt werden, bei der aufgrund ihrer Konstruktion, insbesondere durch einen besonderen Fahrwegverlauf oder verminderte Geschwindigkeiten, sichergestellt werden kann, dass die maximal zulässige Schallemission durch den betroffenen Güterzug nicht überschritten wird. Dies gilt nicht, falls für sämtliche der für den Einsatz vorgesehenen lauten Güterwagen eine Befreiung gemäß § 5 erteilt ist. Die Betreiber der Schienenwege unterstützen die Zugangsberechtigten bei der sachgerechten Beantragung der Schienenwegkapazität.</w:t>
      </w:r>
    </w:p>
    <w:p>
      <w:r>
        <w:t xml:space="preserve">(3) Die Betreiber der Schienenwege dürfen bei Güterzügen mit lauten Güterwagen nur solche Schienenwegkapazität zuweisen und solche Nutzungen der Schienenwegkapazität zulassen, bei denen eine Ausnahme gemäß § 4 oder eine Befreiung gemäß § 5 Absatz 1 vorliegen. Die Betreiber der Schienenwege müssen regelmäßig und in Stichproben bei der Nutzung der Schienenwegkapazität prüfen, dass die Voraussetzungen nach Satz 1 erfüllt sind.</w:t>
      </w:r>
    </w:p>
    <w:p>
      <w:r>
        <w:t xml:space="preserve">(4) Güterzüge, in die auch laute Güterwagen eingestellt sind, für die keine Befreiung erteilt wurde, dürfen nur mit dem durch den Betreiber der Schienenwege gemäß Absatz 2 Satz 1 vorgegebenen Geschwindigkeitsprofil gefahren werden. Die Zugangsberechtigten müssen dem Triebfahrzeugführer die Geschwindigkeitsprofile vor Beginn der Fahrt zugänglich machen.</w:t>
      </w:r>
    </w:p>
    <w:p>
      <w:r>
        <w:rPr>
          <w:color w:val="555555"/>
          <w:sz w:val="17"/>
        </w:rPr>
        <w:t xml:space="preserve">Zitiervorschlag: § 7 SchlärmschG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https://recht.nulegal.eu/gesetze/schl_rmschg--2017/7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SchlärmschG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