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SchlärmschG — Befreiungen vom Verbot</w:t>
      </w:r>
    </w:p>
    <w:p>
      <w:r>
        <w:rPr>
          <w:color w:val="555555"/>
          <w:sz w:val="18"/>
        </w:rPr>
        <w:t xml:space="preserve">Schienenlärmschutzgesetz</w:t>
      </w:r>
    </w:p>
    <w:p>
      <w:r>
        <w:rPr>
          <w:color w:val="555555"/>
          <w:sz w:val="18"/>
        </w:rPr>
        <w:t xml:space="preserve">Historische Fassung: Stand 10.06.2019 bis 15.12.2024. Dies ist nicht die aktuelle Fassung.</w:t>
      </w:r>
    </w:p>
    <w:p>
      <w:r>
        <w:t xml:space="preserve">(1) Auf Antrag eines Zugangsberechtigten oder eines Halters von Eisenbahnfahrzeugen kann die zuständige Behörde Befreiungen von dem Verbot nach § 3 für den Betrieb einzelner Güterwagen erteilen,</w:t>
      </w:r>
    </w:p>
    <w:p>
      <w:pPr>
        <w:ind w:left="420"/>
      </w:pPr>
      <w:r>
        <w:t xml:space="preserve">1. wenn nachgewiesen wird, dass es noch keine zugelassene Technologie gibt, bei deren Verwendung die Güterwagen keine lauten Güterwagen mehr wären,</w:t>
      </w:r>
    </w:p>
    <w:p>
      <w:pPr>
        <w:ind w:left="420"/>
      </w:pPr>
      <w:r>
        <w:t xml:space="preserve">2. wenn die Güterwagen im Vor- oder Nachlauf zu ihrem Hauptlauf auf Steilstrecken verkehren und ausschließlich für Verkehre mit Fahrtanteil auf Steilstrecken zum Einsatz kommen, solange keine Betriebsgenehmigung für eine Technologie erteilt ist, die an Stelle der Grauguss-Bremssohle auf Steilstrecken zum Einsatz kommen kann; die Güterwagen sind zu kennzeichnen,</w:t>
      </w:r>
    </w:p>
    <w:p>
      <w:pPr>
        <w:ind w:left="420"/>
      </w:pPr>
      <w:r>
        <w:t xml:space="preserve">3. wenn die Güterwagen ausschließlich aus Gründen des historischen Interesses oder zu touristischen Zwecken betrieben werden; hierzu gehört auch die Einstellung dieser Güterwagen in Züge zur Zufahrt oder Abfahrt zu eisenbahnhistorischen oder touristischen Veranstaltungen.</w:t>
      </w:r>
    </w:p>
    <w:p>
      <w:r>
        <w:t xml:space="preserve">(2) Die Befreiung ist in den Fällen des Absatzes 1 Nummer 1 und 2 bis zum Ablauf von fünf Netzfahrplanperioden, die auf die Netzfahrplanperiode folgen, in der die Befreiung erteilt wurde, zu befristen. Sie kann vorzeitig widerrufen werden, sobald eine zugelassene Technologie zur Verfügung steht, bei deren Verwendung die befreiten Güterwagen keine lauten Güterwagen mehr wären und die Restlaufzeit der Befreiung mehr als 18 Monate beträgt.</w:t>
      </w:r>
    </w:p>
    <w:p>
      <w:r>
        <w:t xml:space="preserve">(3) In den Fällen des Absatzes 1 Nummer 3 ist die Befreiung unbefristet zu erteilen. Sie erlischt, wenn der Güterwagen nicht mehr ausschließlich für einen der beiden in Absatz 1 Nummer 3 genannten Zwecke vorgehalten wird.</w:t>
      </w:r>
    </w:p>
    <w:p>
      <w:r>
        <w:rPr>
          <w:color w:val="555555"/>
          <w:sz w:val="17"/>
        </w:rPr>
        <w:t xml:space="preserve">Zitiervorschlag: § 5 SchlärmschG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https://recht.nulegal.eu/gesetze/schl_rmschg--2017/5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