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SchlärmschG — Begriffsbestimmungen</w:t>
      </w:r>
    </w:p>
    <w:p>
      <w:r>
        <w:rPr>
          <w:color w:val="555555"/>
          <w:sz w:val="18"/>
        </w:rPr>
        <w:t xml:space="preserve">Schienenlärmschutzgesetz</w:t>
      </w:r>
    </w:p>
    <w:p>
      <w:r>
        <w:rPr>
          <w:color w:val="555555"/>
          <w:sz w:val="18"/>
        </w:rPr>
        <w:t xml:space="preserve">Historische Fassung: Stand 10.06.2019 bis 15.12.2024. Dies ist nicht die aktuelle Fassung.</w:t>
      </w:r>
    </w:p>
    <w:p>
      <w:r>
        <w:t xml:space="preserve">(1) „Lauter Güterwagen“ im Sinne dieses Gesetzes ist ein Güterwagen, der bei der Inbetriebnahme nicht den Anforderungen der Verordnung (EU) Nr. 1304/2014 der Kommission vom 26. November 2014 über die technische Spezifikation für die Interoperabilität des Teilsystems „Fahrzeuge – Lärm“ sowie zur Änderung der Entscheidung 2008/232/EG und Aufhebung des Beschlusses 2011/229/EU (ABl. L 356 vom 12.12.2014, S. 421) oder des Beschlusses 2011/229/EU der Kommission vom 4. April 2011 über die Technische Spezifikation für die Interoperabilität (TSI) zum Teilsystem „Fahrzeuge – Lärm“ des konventionellen transeuropäischen Bahnsystems (ABl. L 99 vom 13.4.2011, S. 1) entsprochen hat.</w:t>
      </w:r>
    </w:p>
    <w:p>
      <w:r>
        <w:t xml:space="preserve">(2) „Maximal zulässige Schallemission“ im Sinne dieses Gesetzes ist eine Schallemission, die den fiktiven Schallleistungspegel nicht überschreitet.</w:t>
      </w:r>
    </w:p>
    <w:p>
      <w:r>
        <w:t xml:space="preserve">(3) „Fiktiver Schallleistungspegel“ im Sinne dieses Gesetzes ist der Wert, der sich ergibt, wenn der Pegel der längenbezogenen Schallleistung für einen Zug berechnet wird, der</w:t>
      </w:r>
    </w:p>
    <w:p>
      <w:pPr>
        <w:ind w:left="420"/>
      </w:pPr>
      <w:r>
        <w:t xml:space="preserve">1. hinsichtlich Fahrzeuganzahl und Fahrzeugbauarten mit Ausnahme der Bremsausrüstung mit dem Güterzug identisch ist, für den eine Trasse beantragt und zugewiesen wird, und</w:t>
      </w:r>
    </w:p>
    <w:p>
      <w:pPr>
        <w:ind w:left="420"/>
      </w:pPr>
      <w:r>
        <w:t xml:space="preserve">2. ausschließlich aus Güterwagen besteht, die keine lauten Güterwagen sind.</w:t>
      </w:r>
    </w:p>
    <w:p>
      <w:r>
        <w:t xml:space="preserve">Bei der Berechnung werden lediglich Fahrzeuge nach Anlage 2 Beiblatt 1 Kategorie 10 Zeile 5, 8, 18 oder 21 der Verkehrslärmschutzverordnung vom 12. Juni 1990 (BGBl. I S. 1036), die zuletzt durch Artikel 1 der Verordnung vom 18. Dezember 2014 (BGBl. I S. 2269) geändert worden ist, berücksichtigt.</w:t>
      </w:r>
    </w:p>
    <w:p>
      <w:r>
        <w:rPr>
          <w:color w:val="555555"/>
          <w:sz w:val="17"/>
        </w:rPr>
        <w:t xml:space="preserve">Zitiervorschlag: § 2 SchlärmschG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https://recht.nulegal.eu/gesetze/schl_rmschg--2017/2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