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SchlärmschG — Bußgeldvorschriften</w:t>
      </w:r>
    </w:p>
    <w:p>
      <w:r>
        <w:rPr>
          <w:color w:val="555555"/>
          <w:sz w:val="18"/>
        </w:rPr>
        <w:t xml:space="preserve">Schienenlärmschutzgesetz</w:t>
      </w:r>
    </w:p>
    <w:p>
      <w:r>
        <w:rPr>
          <w:color w:val="555555"/>
          <w:sz w:val="18"/>
        </w:rPr>
        <w:t xml:space="preserve">Historische Fassung: Stand 01.07.2021 bis 15.12.2024. Dies ist nicht die aktuelle Fassung.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entgegen § 3 Absatz 1 einen Güterwagen fährt oder fahren lässt,</w:t>
      </w:r>
    </w:p>
    <w:p>
      <w:pPr>
        <w:ind w:left="420"/>
      </w:pPr>
      <w:r>
        <w:t xml:space="preserve">2. entgegen § 7 Absatz 2 Satz 1 Schienenwegkapazität zuweist,</w:t>
      </w:r>
    </w:p>
    <w:p>
      <w:pPr>
        <w:ind w:left="420"/>
      </w:pPr>
      <w:r>
        <w:t xml:space="preserve">3. entgegen § 7 Absatz 3 Satz 1 eine Nutzung der Schienenwegkapazität zulässt,</w:t>
      </w:r>
    </w:p>
    <w:p>
      <w:pPr>
        <w:ind w:left="420"/>
      </w:pPr>
      <w:r>
        <w:t xml:space="preserve">4. entgegen § 7 Absatz 4 Satz 1 ein dort genanntes Geschwindigkeitsprofil nicht einhält,</w:t>
      </w:r>
    </w:p>
    <w:p>
      <w:pPr>
        <w:ind w:left="420"/>
      </w:pPr>
      <w:r>
        <w:t xml:space="preserve">5. entgegen § 7 Absatz 4 Satz 2 ein Geschwindigkeitsprofil nicht, nicht richtig, nicht vollständig oder nicht rechtzeitig zugänglich macht,</w:t>
      </w:r>
    </w:p>
    <w:p>
      <w:pPr>
        <w:ind w:left="420"/>
      </w:pPr>
      <w:r>
        <w:t xml:space="preserve">6. entgegen § 8 Absatz 2 oder 3 Satz 3 Daten nicht, nicht richtig, nicht vollständig, nicht in der vorgeschriebenen Weise oder nicht rechtzeitig übermittelt,</w:t>
      </w:r>
    </w:p>
    <w:p>
      <w:pPr>
        <w:ind w:left="420"/>
      </w:pPr>
      <w:r>
        <w:t xml:space="preserve">7. entgegen § 8 Absatz 4 Daten nicht oder nicht mindestens zwölf Monate bereithält.</w:t>
      </w:r>
    </w:p>
    <w:p>
      <w:r>
        <w:t xml:space="preserve">(2) Die Ordnungswidrigkeit kann in den Fällen des Absatzes 1 Nummer 1 bis 3, 5 und 7 mit einer Geldbuße bis zu fünfzigtausend Euro, in den Fällen des Absatzes 1 Nummer 6 mit einer Geldbuße bis zu dreißigtausend Euro und in den Fällen des Absatzes 1 Nummer 4 mit einer Geldbuße bis zu eintausend Euro geahndet werden.</w:t>
      </w:r>
    </w:p>
    <w:p>
      <w:r>
        <w:t xml:space="preserve">(3) Verwaltungsbehörde im Sinne des § 36 Absatz 1 Nummer 1 des Gesetzes über Ordnungswidrigkeiten ist für Schienenwege der Eisenbahnen des Bundes das Eisenbahn-Bundesamt.</w:t>
      </w:r>
    </w:p>
    <w:p>
      <w:r>
        <w:rPr>
          <w:color w:val="555555"/>
          <w:sz w:val="17"/>
        </w:rPr>
        <w:t xml:space="preserve">Zitiervorschlag: § 13 SchlärmschG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https://recht.nulegal.eu/gesetze/schl_rmschg--2017/13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