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SchlärmschG — Maßnahmen bei Verstößen</w:t>
      </w:r>
    </w:p>
    <w:p>
      <w:r>
        <w:rPr>
          <w:color w:val="555555"/>
          <w:sz w:val="18"/>
        </w:rPr>
        <w:t xml:space="preserve">Schienenlärmschutzgesetz</w:t>
      </w:r>
    </w:p>
    <w:p>
      <w:r>
        <w:rPr>
          <w:color w:val="555555"/>
          <w:sz w:val="18"/>
        </w:rPr>
        <w:t xml:space="preserve">Historische Fassung: Stand 01.07.2021 bis 15.12.2024. Dies ist nicht die aktuelle Fassung.</w:t>
      </w:r>
    </w:p>
    <w:p>
      <w:r>
        <w:t xml:space="preserve">(1) Stellt die zuständige Behörde fest, dass für einen bestimmten Streckenabschnitt wiederholt gegen das Verbot nach § 3 Absatz 1 Satz 1 oder gegen die Verpflichtungen nach § 7 Absatz 2 Satz 1, Absatz 3 oder 4, oder nach § 8 Absatz 1, 2, 3 Satz 3 oder Absatz 4 verstoßen wurde, so kann sie dem Betreiber der Schienenwege und dem Zugangsberechtigten für diesen Streckenabschnitt folgende Maßnahmen auferlegen:</w:t>
      </w:r>
    </w:p>
    <w:p>
      <w:pPr>
        <w:ind w:left="420"/>
      </w:pPr>
      <w:r>
        <w:t xml:space="preserve">1. strecken- und tageszeitbezogene Höchstgeschwindigkeiten oder</w:t>
      </w:r>
    </w:p>
    <w:p>
      <w:pPr>
        <w:ind w:left="420"/>
      </w:pPr>
      <w:r>
        <w:t xml:space="preserve">2. nächtliche Fahrverbote.</w:t>
      </w:r>
    </w:p>
    <w:p>
      <w:r>
        <w:t xml:space="preserve">Dem Betreiber der Schienenwege kann sie unter den in Satz 1 genannten Voraussetzungen auferlegen, die Güterwagen des Zugangsberechtigten vor Fahrtantritt dahingehend zu überprüfen, ob ausschließlich Güterwagen in den Zug eingestellt wurden, mit denen der maximal zulässige Schallleistungspegel bei Einhaltung der im Fahrplanprofil festgelegten Geschwindigkeiten möglich ist.</w:t>
      </w:r>
    </w:p>
    <w:p>
      <w:r>
        <w:t xml:space="preserve">(2) Soweit der Zugang zu Schienenwegen betroffen ist, setzen sich die zuständigen Behörden vor dem Erlass von Maßnahmen mit der zuständigen Regulierungsbehörde ins Benehmen.</w:t>
      </w:r>
    </w:p>
    <w:p>
      <w:r>
        <w:rPr>
          <w:color w:val="555555"/>
          <w:sz w:val="17"/>
        </w:rPr>
        <w:t xml:space="preserve">Zitiervorschlag: § 11 SchlärmschG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https://recht.nulegal.eu/gesetze/schl_rmschg--2017/11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