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SchlärmschG — Anwendungsbereich des Gesetzes</w:t>
      </w:r>
    </w:p>
    <w:p>
      <w:r>
        <w:rPr>
          <w:color w:val="555555"/>
          <w:sz w:val="18"/>
        </w:rPr>
        <w:t xml:space="preserve">Schienenlärmschutzgesetz</w:t>
      </w:r>
    </w:p>
    <w:p>
      <w:r>
        <w:rPr>
          <w:color w:val="555555"/>
          <w:sz w:val="18"/>
        </w:rPr>
        <w:t xml:space="preserve">Historische Fassung: Stand 10.06.2019 bis 15.12.2024. Dies ist nicht die aktuelle Fassung.</w:t>
      </w:r>
    </w:p>
    <w:p>
      <w:r>
        <w:t xml:space="preserve">Dieses Gesetz findet Anwendung auf laute Güterwagen, die auf der regelspurigen öffentlichen Eisenbahninfrastruktur in Deutschland zum Einsatz kommen.</w:t>
      </w:r>
    </w:p>
    <w:p>
      <w:r>
        <w:rPr>
          <w:color w:val="555555"/>
          <w:sz w:val="17"/>
        </w:rPr>
        <w:t xml:space="preserve">Zitiervorschlag: § 1 SchlärmschG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https://recht.nulegal.eu/gesetze/schl_rmschg--2017/1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SchlärmschG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