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SchAusrV — Ordnungswidrigkeiten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Ordnungswidrig im Sinne des § 15 Abs. 1 Nr. 2 des Seeaufgabengesetzes handelt, wer vorsätzlich oder fahrlässig</w:t>
      </w:r>
    </w:p>
    <w:p>
      <w:pPr>
        <w:ind w:left="420"/>
      </w:pPr>
      <w:r>
        <w:t xml:space="preserve">1. entgegen § 3 Abs. 6 Satz 1 die Konformitätsbewertung nicht verweigert oder nicht zurückzieht,</w:t>
      </w:r>
    </w:p>
    <w:p>
      <w:pPr>
        <w:ind w:left="420"/>
      </w:pPr>
      <w:r>
        <w:t xml:space="preserve">2. entgegen § 5 Abs. 1 die Konformität einer Ausrüstung nicht oder nicht rechtzeitig nachweist,</w:t>
      </w:r>
    </w:p>
    <w:p>
      <w:pPr>
        <w:ind w:left="420"/>
      </w:pPr>
      <w:r>
        <w:t xml:space="preserve">3. entgegen § 5 Abs. 3 eine Ausrüstung nicht kennzeichnet oder</w:t>
      </w:r>
    </w:p>
    <w:p>
      <w:pPr>
        <w:ind w:left="420"/>
      </w:pPr>
      <w:r>
        <w:t xml:space="preserve">4. einer vollziehbaren Anordnung nach § 7 Abs. 1 Satz 1 oder Abs. 2 zuwiderhandelt.</w:t>
      </w:r>
    </w:p>
    <w:p>
      <w:r>
        <w:t xml:space="preserve">(2) Die Zuständigkeit für die Verfolgung und Ahndung von Ordnungswidrigkeiten nach Absatz 1 wird auf das Bundesamt für Seeschifffahrt und Hydrographie übertragen.</w:t>
      </w:r>
    </w:p>
    <w:p>
      <w:r>
        <w:rPr>
          <w:color w:val="555555"/>
          <w:sz w:val="17"/>
        </w:rPr>
        <w:t xml:space="preserve">Zitiervorschlag: § 9 SchAusrV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https://recht.nulegal.eu/gesetze/schausrv--2008/9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