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SchAusrV — Anforderungen an Ausrüstung, Befugnisse</w:t>
      </w:r>
    </w:p>
    <w:p>
      <w:r>
        <w:rPr>
          <w:color w:val="555555"/>
          <w:sz w:val="18"/>
        </w:rPr>
        <w:t xml:space="preserve">Schiffsausrüstungsverordnung</w:t>
      </w:r>
    </w:p>
    <w:p>
      <w:r>
        <w:rPr>
          <w:color w:val="555555"/>
          <w:sz w:val="18"/>
        </w:rPr>
        <w:t xml:space="preserve">Historische Fassung: Stand 10.06.2019 bis 01.07.2026. Dies ist nicht die aktuelle Fassung.</w:t>
      </w:r>
    </w:p>
    <w:p>
      <w:r>
        <w:t xml:space="preserve">(1) Die Voraussetzung nach § 7a Abs. 1 des Seeaufgabengesetzes für das Inverkehrbringen, den Einbau, die Instandhaltung und die Verwendung von Ausrüstung ist gegeben, wenn diese</w:t>
      </w:r>
    </w:p>
    <w:p>
      <w:pPr>
        <w:ind w:left="420"/>
      </w:pPr>
      <w:r>
        <w:t xml:space="preserve">1. den jeweiligen Durchführungsrechtsakten der Kommission nach Artikel 35 Absatz 2 und 3 der Richtlinie 2014/90/EU in ihrer jeweils geltenden Fassung entspricht,</w:t>
      </w:r>
    </w:p>
    <w:p>
      <w:pPr>
        <w:ind w:left="420"/>
      </w:pPr>
      <w:r>
        <w:t xml:space="preserve">2. ein Konformitätsbewertungsverfahren durchlaufen hat,</w:t>
      </w:r>
    </w:p>
    <w:p>
      <w:pPr>
        <w:ind w:left="420"/>
      </w:pPr>
      <w:r>
        <w:t xml:space="preserve">3. mit einer Kennzeichnung versehen und</w:t>
      </w:r>
    </w:p>
    <w:p>
      <w:pPr>
        <w:ind w:left="420"/>
      </w:pPr>
      <w:r>
        <w:t xml:space="preserve">4. von einer Konformitätserklärung begleitet ist.</w:t>
      </w:r>
    </w:p>
    <w:p>
      <w:r>
        <w:t xml:space="preserve">(2) Die zuständige Behörde prüft stichprobenweise die in Verkehr zu bringende oder in Verkehr gebrachte Ausrüstung auf Einhaltung des Absatzes 1. Sie kann sich dabei der Unterstützung durch anerkannte Sachverständige bedienen.</w:t>
      </w:r>
    </w:p>
    <w:p>
      <w:r>
        <w:t xml:space="preserve">(3) Die zuständige Behörde wirkt an der europäischen Gruppe benannter Stellen zur Umsetzung der Richtlinie 2014/90/EU regelmäßig mit.</w:t>
      </w:r>
    </w:p>
    <w:p>
      <w:r>
        <w:rPr>
          <w:color w:val="555555"/>
          <w:sz w:val="17"/>
        </w:rPr>
        <w:t xml:space="preserve">Zitiervorschlag: § 6 SchAusrV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https://recht.nulegal.eu/gesetze/schausrv--2008/6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